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C-2891/2014 vom 26. November 2014</w:t>
      </w:r>
    </w:p>
    <w:p>
      <w:r>
        <w:t>Bundesverwaltungsgericht, 2014-11-26, DE</w:t>
      </w:r>
    </w:p>
    <w:p>
      <w:r>
        <w:rPr>
          <w:b/>
        </w:rPr>
        <w:t xml:space="preserve">Quelle: </w:t>
      </w:r>
      <w:r>
        <w:t>https://mcp.opencaselaw.ch/entscheid/bvger_C-2891_2014</w:t>
      </w:r>
    </w:p>
    <w:p>
      <w:r>
        <w:t>FR: TAF C-2891/2014 du 26 novembre 2014</w:t>
      </w:r>
    </w:p>
    <w:p>
      <w:r>
        <w:t>IT: TAF C-2891/2014 del 26 novembre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der Erteilung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legitimiert. Auf die im Übrigen frist- und formgerecht eingereichte Beschwerde ist einzutreten (vgl. Art. 50 und 52 VwVG).</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mit Hinweisen).</w:t>
      </w:r>
    </w:p>
    <w:p>
      <w:r>
        <w:rPr>
          <w:b/>
        </w:rPr>
        <w:t>E. 3</w:t>
      </w:r>
    </w:p>
    <w:p>
      <w:r>
        <w:t>Der angefochtenen Verfügung liegt das Gesuch einer thailändischen Staatsangehörigen um Erteilung eines Visums für einen 90-tägigen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5.2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Thailand in dieser Liste aufgeführt ist, unterliegt die Gesuchstellerin der Visumspflicht.</w:t>
      </w:r>
    </w:p>
    <w:p>
      <w:r>
        <w:rPr>
          <w:b/>
        </w:rPr>
        <w:t>E. 7.1</w:t>
      </w:r>
    </w:p>
    <w:p>
      <w:r>
        <w:t>Die Vorinstanz begründet die Abweisung der Einsprache im Wesentlichen damit, dass die Wiederausreise der Gesuchstellerin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Personen in die Beurteilung mit einzubeziehen.</w:t>
      </w:r>
    </w:p>
    <w:p>
      <w:r>
        <w:rPr>
          <w:b/>
        </w:rPr>
        <w:t>E. 7.2.1</w:t>
      </w:r>
    </w:p>
    <w:p>
      <w:r>
        <w:t>Zur allgemeinen Situation in Thailand kann momentan folgendes festgehalten werden: Im Mai 2014 hat das Militär durch einen Putsch die Macht übernommen; seither herrscht Kriegsrecht. Durch den Putsch wurde ein seit mehreren Monaten dauernder Machtkampf beendet. Die politische Krise in Thailand wirkte sich in erheblichem Mass negativ auf die wirtschaftliche Lage aus. Besonders deutlich war der Einbruch im Tourismussektor (Januar - Juni 2014 minus 6 %). Die inzwischen erreichte Stabilisierung der politischen Lage und die von der Übergangsregierung eingeleiteten Massnahmen wirken sich allerdings positiv auf die Vorhersagen für das zweite Halbjahr 2014 aus (zwischen 3,5 und 5,5 % Wachstum). Diese Zahlen vermögen jedoch nicht darüber hinwegzutäuschen, dass die ländlichen Gebiete Thailands, vor allem im Nordosten, nach wie vor von wirtschaftlichen Problemen betroffen sind, die sich in verbreiteter Armut niederschlagen (88 % der von Armut Betroffenen gut 12 % der Bevölkerung leben in ländlichen Gebieten). Überdies kommt es im muslimisch geprägten Süden Thailands immer wieder zu Anschlägen und Unruhen, weshalb dort seit 2005 der Notstand gilt (Quellen: Deutsches Auswärtiges Amt, www.auswaertiges-amt.de &gt; Reise &amp; Sicherheit &gt; Thailand &gt; Reise- und Sicherheitshinweise / Wirtschaft / Innenpolitik; Eidgenössisches Departement für auswärtige Angelegenheiten, www.eda.admin.ch &gt; Länder- und Reiseinformationen &gt; Thailand &gt; Reisehinweise; Asian Development Bank, www.adb.org &gt; Countries &gt; Thailand &gt; Economy; Entwicklungsprogramm der Vereinten Nationen in Thailand, www.th.undp.org &gt; About Thailand; alle Websites besucht am 26.11.2014).</w:t>
      </w:r>
    </w:p>
    <w:p>
      <w:r>
        <w:rPr>
          <w:b/>
        </w:rPr>
        <w:t>E. 7.2.2</w:t>
      </w:r>
    </w:p>
    <w:p>
      <w:r>
        <w:t>Vor diesem Hintergrund ist nicht zu beanstanden, dass die Vorinstanz das Risiko einer nicht fristgerechten Wiederausreise von Besuchern aus Thailand allgemein als hoch einschätzt, insbesondere, wenn die gesuchstellende Person in der Schweiz bereits über ein gewisses soziales Beziehungsnetz (Verwandte oder Freunde) verfügt.</w:t>
      </w:r>
    </w:p>
    <w:p>
      <w:r>
        <w:rPr>
          <w:b/>
        </w:rPr>
        <w:t>E. 7.3</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7.4.1</w:t>
      </w:r>
    </w:p>
    <w:p>
      <w:r>
        <w:t>Die Gesuchstellerin ist 17 Jahre alt, ledig und geht noch zur Schule. Da die Mutter aus wirtschaftlichen Gründen nach Bangkok zog und sich später in der Schweiz niederliess, wuchs sie bei ihrer Grossmutter und einer Tante in der Provinz Udon Thani im Nordosten des Landes auf. Nach dem Tod der Grossmutter (2009) und finanziellen und familiären Schwierigkeiten der Tante (ab 2008), liess sich die Tante im Jahre 2010 mit ihren eigenen Kindern und der Gesuchstellerin in der Provinz Prachuap Khiri Khan südlich von Bangkok nieder, wo sie Arbeit gefunden hatte. Erst in dieser Zeit wurde ein Familiennachzug in die Schweiz in Betracht gezogen. Das entsprechende Gesuch wurde mit Verfügung des Amts für Migration des Kantons Luzern vom 1. Mai 2012 abgewiesen.</w:t>
      </w:r>
    </w:p>
    <w:p>
      <w:r>
        <w:rPr>
          <w:b/>
        </w:rPr>
        <w:t>E. 7.4.2</w:t>
      </w:r>
    </w:p>
    <w:p>
      <w:r>
        <w:t>Aus den Akten ergeben sich keine Verpflichtungen familiärer, sozialer oder wirtschaftlicher Art, welche die Gesuchstellerin nachhaltig von einer Emigration abzuhalten vermöchten. Vielmehr hat sie im Jahr 2011 selbst den Wunsch geäussert, zu ihrer Mutter in die Schweiz zu kommen. Auch anlässlich des Gesprächs auf der Botschaft hat die Gesuchstellerin offenbar gesagt, sie wäre bereit, sich in der Schweiz niederzulassen und eine Ausbildung zu absolvieren, wenn ihre Mutter dies wünsche. Hingegen versichert der Beschwerdeführer, dass die Gesuchstellerin nach Thailand zurückkehren werde, um dort die Schule abzuschliessen und eine Ausbildung zu beginnen. Im vorliegenden Kontext kommt dem Verhalten und den zum Ausdruck gebrachten Absichten der Gesuchstellerin zentrale Bedeutung zu. Die Einflussmöglichkeiten des Beschwerdeführers und seiner Frau sind aus rechtlicher Perspektive nur beschränkt. Es gibt denn auch keinen Grund, an ihrem Willen zur Einhaltung der rechtlichen Vorgaben zu zweifeln. Allerdings können sie nur für gewisse finanzielle Risiken einstehen (vgl. die Garantieerklärung). Hingegen sind die Möglichkeiten, das Verhalten der bald volljährigen Gesuchstellerin zu beeinflussen, sehr beschränkt und rechtlich nicht durchsetzbar (vgl. BVGE 2009/27 E. 9 mit Hinweis).</w:t>
      </w:r>
    </w:p>
    <w:p>
      <w:r>
        <w:rPr>
          <w:b/>
        </w:rPr>
        <w:t>E. 7.5</w:t>
      </w:r>
    </w:p>
    <w:p>
      <w:r>
        <w:t>Insgesamt ist somit die Schlussfolgerung der Vorinstanz, wonach die Wiederausreise der Gesuchstellerin angesichts der allgemeinen Lage in Thailand und ihrer individuellen Situation nicht gesichert sei, nicht zu beanstanden. Die Ausstellung eines einheitlichen Schengen-Visums fällt demnach ausser Betracht.</w:t>
      </w:r>
    </w:p>
    <w:p>
      <w:r>
        <w:rPr>
          <w:b/>
        </w:rPr>
        <w:t>E. 8.1</w:t>
      </w:r>
    </w:p>
    <w:p>
      <w:r>
        <w:t>Hingegen bleibt zu prüfen, ob die Voraussetzungen für die Ausstellung eines Visums mit räumlich beschränkter Gültigkeit gegeben sind. Wie bereits in E. 5.2 erwähnt, kann ein Schengen-Mitgliedstaat ein solches Visum ausstellen, wenn nicht alle Einreisevoraussetzungen erfüllt sind. Allerdings gilt dieses Visum nur für das eigene Territorium. Es kommen humanitäre Gründe, Gründe des nationalen Interesses oder die Erfüllung internationaler Verpflichtungen als Gründe in Frage. Die Mitgliedstaaten sollen von dieser Möglichkeit nur zurückhaltend und gestützt auf eine sorgfältige Abwägung der sich gegenüber stehenden Interessen Gebrauch machen (vgl. BVGE 2011/48 E. 6.1 mit Hinweisen).</w:t>
      </w:r>
    </w:p>
    <w:p>
      <w:r>
        <w:rPr>
          <w:b/>
        </w:rPr>
        <w:t>E. 8.2</w:t>
      </w:r>
    </w:p>
    <w:p>
      <w:r>
        <w:t>Vorliegend ist zu prüfen, ob sich aus der Beziehung der Gesuchstellerin zu ihrer in der Schweiz lebenden Mutter eine auf Art. 8 EMRK (Schutz des Familien- und Privatlebens) basierende völkerrechtliche Pflicht zur Ermöglichung eines Besuchs in der Schweiz ergibt. Auf die Teilgarantie des Familienlebens können sich namentlich ausländische Personen berufen, die nahe Familienangehörige mit hinreichend gefestigtem Anwesenheitsrecht in der Schweiz haben, sofern das Familienleben intakt ist und gelebt wird (vgl. BVGE 2014/1 E. 9.3 mit Hinweisen). Die Beziehung zwischen Mutter und Tochter wird schon seit langer Zeit nur mittels Besuchen gepflegt (vgl. E. 7.4.1). Es ist demnach davon auszugehen, dass das Familienleben intakt ist und - soweit es die grosse Distanz zulässt - auch gelebt wird, so dass die Beziehung grundsätzlich den Schutz von Art. 8 EMRK geniesst. Allerdings ergibt sich daraus kein Anspruch, das Familienleben in einem bestimmten Land zu leben. Die Schweiz ist somit nicht verpflichtet, der Gesuchstellerin ein Visum für die Schweiz auszustellen, kann doch die Beziehung - wie schon in den letzten zehn Jahren - mittels Besuchen der Mutter in Thailand gepflegt werden. Dass mittlerweile länger dauernde Besuche aufgrund der Schulpflicht des Halbbruders der Gesuchstellerin nicht mehr möglich sind, vermag daran nichts zu ändern. Bei dieser Sachlage kann vorliegend aus Art. 8 EMRK kein Anspruch auf Erteilung eines auf das Gebiet der Schweiz beschränkten Visums abgeleitet werden.</w:t>
      </w:r>
    </w:p>
    <w:p>
      <w:r>
        <w:rPr>
          <w:b/>
        </w:rPr>
        <w:t>E. 8.3</w:t>
      </w:r>
    </w:p>
    <w:p>
      <w:r>
        <w:t>Weitere Gründe, welche die Erteilung eines Visums mit räumlich beschränkter Gültigkeit rechtfertigen könnten, sind nicht ersichtlich.</w:t>
      </w:r>
    </w:p>
    <w:p>
      <w:r>
        <w:rPr>
          <w:b/>
        </w:rPr>
        <w:t>E. 9</w:t>
      </w:r>
    </w:p>
    <w:p>
      <w:r>
        <w:t>Aus den vorstehenden Erwägungen ergibt sich, dass die angefochtene Verfügung im Lichte von Art. 49 VwVG nicht zu beanstanden ist. Die Beschwerde ist daher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