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C-2889/2007 vom 12. November 2007</w:t>
      </w:r>
    </w:p>
    <w:p>
      <w:r>
        <w:t>Bundesverwaltungsgericht, 2007-11-12, DE</w:t>
      </w:r>
    </w:p>
    <w:p>
      <w:r>
        <w:rPr>
          <w:b/>
        </w:rPr>
        <w:t xml:space="preserve">Quelle: </w:t>
      </w:r>
      <w:r>
        <w:t>https://mcp.opencaselaw.ch/entscheid/bvger_C-2889_2007</w:t>
      </w:r>
    </w:p>
    <w:p>
      <w:r>
        <w:t>FR: TAF C-2889/2007 du 12 novembre 2007</w:t>
      </w:r>
    </w:p>
    <w:p>
      <w:r>
        <w:t>IT: TAF C-2889/2007 del 12 novembre 2007</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(Art. 20 Abs. 1 des Bundesgesetzes vom 26. März 1931 über Aufenthalt und Niederlassung der Ausländer [ANAG, SR 142.20] und Art. 18 Abs. 1 der Verordnung vom 14. Januar 1998 über die Einreise und Anmeldung von Ausländerinnen und Ausländern [VEA, SR 142.211]). Das Bundesverwaltungsgericht entscheidet in diesem Bereich endgültig (Art. 83 Bst. c Ziff. 1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 sind als Garanten und Gastgeber aufgrund von Art. 48 Abs. 1 VwVG in Verbindung mit Art. 20 Abs. 2 ANAG zur Beschwerde legitimiert. Auf die frist- und formgerecht eingereichte Beschwerde ist somit einzutreten (Art. 49 ff. VwVG).</w:t>
      </w:r>
    </w:p>
    <w:p>
      <w:r>
        <w:rPr>
          <w:b/>
        </w:rPr>
        <w:t>E. 2.1</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VEA).</w:t>
      </w:r>
    </w:p>
    <w:p>
      <w:r>
        <w:rPr>
          <w:b/>
        </w:rPr>
        <w:t>E. 2.2</w:t>
      </w:r>
    </w:p>
    <w:p>
      <w:r>
        <w:t>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2.3</w:t>
      </w:r>
    </w:p>
    <w:p>
      <w:r>
        <w:t>Im Falle einer Einreisebewilligung ist daher der Spielraum für das behördliche Ermessen umfangreicher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zu berücksichtigen (Art. 16 Abs. 1 ANAG). Jedenfalls gebieten Ordnungs- und Steuerungsfunktionen der Visumsbestimmungen, über jeden Einzelfall unter Einhaltung einer möglichst vollständigen Interessenabwägung zu entscheiden.</w:t>
      </w:r>
    </w:p>
    <w:p>
      <w:r>
        <w:rPr>
          <w:b/>
        </w:rPr>
        <w:t>E. 2.4</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3</w:t>
      </w:r>
    </w:p>
    <w:p>
      <w:r>
        <w:t>Die Gesuchstellerin benötigt aufgrund ihrer Nationalität zur Einreise in die Schweiz neben dem Pass ein Visum. Die Vorinstanz verweigerte die Erteilung eines solchen Visums mit der Begründung, die fristgerechte Wiederausreise erscheine nicht als hinreichend gesichert.</w:t>
      </w:r>
    </w:p>
    <w:p>
      <w:r>
        <w:rPr>
          <w:b/>
        </w:rPr>
        <w:t>E. 3.1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3.2</w:t>
      </w:r>
    </w:p>
    <w:p>
      <w:r>
        <w:t>Die politische und wirtschaftliche Lage der Philippinen wurde durch immer wiederkehrende Turbulenzen sowie die hohe Staats- und Auslandsverschuldung geprägt. Inzwischen hat die Wirtschaft an Unabhängigkeit gewonnen, so dass die Wachstumsraten in den letzten Jahren bei 5 - 6 % lagen. Getragen wird das Wirtschaftswachstum zu einem erheblichen Teil vom Inlandskonsum, der durch die hohen Rücküberweisungen von Auslandfilipinos - rund 10 % der Bevölkerung - angekurbelt wird. Arbeitslosigkeit, starkes Bevölkerungswachstum und verbreitete Armut sind ein starker Motivationsfaktor für die erwerbsfähige Bevölkerung, sich im Ausland Arbeit zu suchen. Jährlich verlassen so etwa 1 Million Menschen die Philippinen. Zudem fördert die Regierung auch gezielt die Entsendung von Gastarbeitern ins Ausland. Dies hat zur Folge, dass die im Ausland lebenden Filipinos jährlich schätzungsweise 12-15 Milliarden US-Dollar in ihre Heimat überweisen (Quelle: www.auswaertiges amt.de, Stand Februar 2007, besucht am 23. Oktober 2007). Der geschilderte Migrationsdruck zeigt sich erfahrungsgemäss besonders stark bei jungen und ungebundenen Personen, die unter anderem auch die Schweiz als Zielland betrachten. Besteht im Ausland bereits ein soziales Beziehungsnetz von Verwandten oder Freunden, so wird dadurch die Tendenz, sich dort unter besseren Lebensbedingungen eine (neue) Existenz aufzubauen, begünstigt. Im Falle der Schweiz führt dies angesichts der restriktiven fremdenpolizeilichen Zulassungsregelung nicht selten zur Umgehung ausländerrechtlicher Bestimmungen. Solche Umstände und Erfahrungen sind beim Visumsentscheid zu berücksichtigen. Dies umso mehr, als es um die Beurteilung eines zukünftigen Verhaltens geht, über welches in der Regel keine gesicherten Erkenntnisse vorliegen.</w:t>
      </w:r>
    </w:p>
    <w:p>
      <w:r>
        <w:rPr>
          <w:b/>
        </w:rPr>
        <w:t>E. 3.3</w:t>
      </w:r>
    </w:p>
    <w:p>
      <w:r>
        <w:t>Angesichts der schwierigen Lage im Herkunftsland ist daher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3.4</w:t>
      </w:r>
    </w:p>
    <w:p>
      <w:r>
        <w:t>Bei der Gesuchstellerin handelt es sich um eine 23jährige, ledige Frau. Sie hat den ersten Teil einer Ausbildung im Pflegebereich ("nursing") absolviert und im September 2007 mit der Vorbereitung zur staatlichen Anerkennung ("licensure examination") ihrer Ausbildung begonnen (vgl. die Angaben auf dem kantonalen Fragebogen sowie im Schreiben an Bundesrätin Micheline Calmy-Rey vom 11. April 2007). Die vorhandenen Informationen lassen keine gesellschaftlichen oder familiären Verpflichtungen erkennen, die die Gesuchstellerin nachhaltig von einer Emigration anzuhalten vermöchten. Einzig die noch fehlende staatliche Anerkennung ihrer Ausbildung lässt eine gewisse Verpflichtung zugunsten einer Rückkehr ins Heimatland erkennen. Dem gegenüber steht jedoch die Tatsache, dass jedes Jahr sehr viele im Gesundheitswesen ausgebildete Filipinos ihr Land verlassen; die meisten davon sind Pflegende. Gemäss Schätzungen sollen im Jahr 2003 150'000 philippinische Pflegende im Ausland gearbeitet haben (Quelle: www.focus-migration.de, Kurzdossier "Abwanderung und Anwerbung von Fachkräften im Gesundheitswesen: Ursachen, Konsequenzen und politische Reaktionen", Ausgabe Nr. 7, August 2007) und der Trend ist aufgrund verschiedener Faktoren (viele Ausbildungsabgänger, wirtschaftliche Lage etc.) bis heute ungebrochen. Die meisten Pflegenden, welche ins Ausland gehen, sind weiblich, knapp über 20 Jahre alt, ledig und stammen aus dem Mittelstand. Die Mehrheit verfügt nur über die universitäre Grundausbildung ("Bachelor's Degree in Nursing"). Viele der Emigranten sind nicht offiziell erfasst, da sie mit einem Touristenvisum ausgereist sind (Quelle: Health Service Research, Bd. 42, Ausgabe Juni 2007: Lorenzo F.M.E. et al. "Nurse Migration from a Source Country Perspektive: Philippine Country Case Study", S. 1406 - 1418). Insgesamt muss somit festgestellt werden, dass die berufliche Situation der Gesuchstellerin ebenfalls nicht geeignet ist, die aufgrund der allgemeinen Situation auf den Philippinen negative Prognose bezüglich der Wiederausreise positiv zu beeinflussen.</w:t>
      </w:r>
    </w:p>
    <w:p>
      <w:r>
        <w:rPr>
          <w:b/>
        </w:rPr>
        <w:t>E. 4</w:t>
      </w:r>
    </w:p>
    <w:p>
      <w:r>
        <w:t>An dieser Beurteilung vermögen auch die Versicherungen der Gesuchstellerin und der Gastgeber nichts zu ändern, dass die Gesuchstellerin anstandslos wieder ausreisen werde. In Bezug auf die Gastgeber ist festzuhalten, dass es keinen Grund gibt, an ihrer Integrität zu zweifeln (vgl. auch die Vernehmlassung der Vorinstanz vom 19. Juni 2007). Naturgemäss kann jedoch ein Gastgeber das Verhalten seines Gastes nicht oder nur beschränkt beeinflussen (vgl. den Entscheid des Bundesverwaltungsgerichtes C-787/2006 vom 6. Juli 2007 mit Hinweis). Deshalb muss die Beurteilung, ob die Wiederausreise gesichert erscheint, aufgrund der allgemeinen Lage im betreffenden Herkunftsland und der persönlichen Situation der Gesuchstellerin erfolgen.</w:t>
      </w:r>
    </w:p>
    <w:p>
      <w:r>
        <w:rPr>
          <w:b/>
        </w:rPr>
        <w:t>E. 5</w:t>
      </w:r>
    </w:p>
    <w:p>
      <w:r>
        <w:t>Zusammenfassend ergibt sich, dass die fristgerechte und anstandslose Wiederausreise der Gesuchstellerin nicht als gesichert erscheint. Dabei handelt es sich nicht um eine sichere Erkenntnis, sondern um eine Prognose betreffend das zukünftige Verhalten der Gesuchstellerin im Falle ihrer Einreise in die Schweiz; doch reicht praxisgemäss eine negative Prognose aus, um den Antrag auf Erteilung einer Einreisebewilligung, worauf wie oben in Ziffer 2.2 erwähnt ohnehin kein Rechtsanspruch besteht, abzulehnen. Aus diesen Darlegungen folgt, dass die angefochtene Verfügung im Ergebnis rechtmässig ist (Art. 49 VwVG). Die Beschwerde ist demzufolge abzuweisen.</w:t>
      </w:r>
    </w:p>
    <w:p>
      <w:r>
        <w:rPr>
          <w:b/>
        </w:rPr>
        <w:t>E. 6</w:t>
      </w:r>
    </w:p>
    <w:p>
      <w:r>
        <w:t>Bei diesem Ausgang des Verfahrens sind die Kosten den Beschwerdeführern aufzuerlegen (vgl. Art. 63 Abs. 1 VwVG i.V.m. Art. 1 des Reglements vom 11. Dezember 2006 über die Kosten und Entschädigungen vor dem Bundesverwaltungsgericht [VGKE, SR 173.320.2]). (Dispositiv siehe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