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C-2882/2015 vom 4. Februar 2016</w:t>
      </w:r>
    </w:p>
    <w:p>
      <w:r>
        <w:t>Bundesverwaltungsgericht, 2016-02-04, DE</w:t>
      </w:r>
    </w:p>
    <w:p>
      <w:r>
        <w:rPr>
          <w:b/>
        </w:rPr>
        <w:t xml:space="preserve">Quelle: </w:t>
      </w:r>
      <w:r>
        <w:t>https://mcp.opencaselaw.ch/entscheid/bvger_C-2882_2015</w:t>
      </w:r>
    </w:p>
    <w:p>
      <w:r>
        <w:t>FR: TAF C-2882/2015 du 4 février 2016</w:t>
      </w:r>
    </w:p>
    <w:p>
      <w:r>
        <w:t>IT: TAF C-2882/2015 del 4 febbraio 2016</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bspw. auszuführen, für wen, was und wie lange er gearbeitet und welche Entschädigung er dafür erhalten haben soll. Sie sei somit ihrer Begründungspflicht in keiner Weise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obengenannte Person war in der Zeit vom in der Schweiz erwerbstätig, ohne im Besitze der erforderlichen ausländerrechtlichen Bewilligung zu sein. Gemäss ständiger Praxis und Rechtsprechung liegt damit ein Verstoss gegen die öffentliche Sicherheit und Ordnung im Sinne von Art. 67 AuG vor. Die im Rahmen des rechtlichen Gehörs gemachten Ausführungen vermögen keinen anderen Entscheid zu rechtfertigen." 3.3.2 Die Begründung der angefochtenen Verfügung ist wohl knapp ausgefallen und die privaten Interessen des Beschwerdeführers wurden nicht aufgeführt. Diese liess dennoch erkennen, dass die Verzeigung an die Staatsanwaltschaft Baden wegen illegaler Einreise und rechtswidrigen Aufenthalts in der Schweiz sowie unselbständiger Erwerbstätigkeit ohne Bewilligung zum Anlass genommen wurde, um eine Fernhaltemassnahme gestützt auf Art. 67 AuG (SR 142.20) anzuordnen. Zudem war der Rechtsvertreter aufgrund der Akteneinsicht über das Vorkommnis informiert. Dem Beschwerdeführer war es somit möglich, ein materiell begründetes Rechtsmittel gegen die Verfügung zu erheben. 3.3.3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 4.4.1 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C-6661/2014 vom 22. Oktober 2015 E. 4.1 m.H.). 4.2 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Die Vorinstanz machte in ihrer Verfügung vom 26. März 2015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6. Mai 2015 liess der Beschwerdeführer durch seinen Rechtsvertreter vorgebringen, dass die Begründung der Verfügung falsch sei und er in der Schweiz nicht erwerbstätig gewesen sei.</w:t>
      </w:r>
    </w:p>
    <w:p>
      <w:r>
        <w:rPr>
          <w:b/>
        </w:rPr>
        <w:t>E. 5.3</w:t>
      </w:r>
    </w:p>
    <w:p>
      <w:r>
        <w:t>Die Vorinstanz führte in ihrer Vernehmlassung ergänzend aus, dass einen Verstoss gegen die öffentliche Sicherheit und Ordnung i. S. von Art. 67 Abs. 2 Bst. a AuG u.a.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wollten,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w:t>
      </w:r>
    </w:p>
    <w:p>
      <w:r>
        <w:rPr>
          <w:b/>
        </w:rPr>
        <w:t>E. 5.4</w:t>
      </w:r>
    </w:p>
    <w:p>
      <w:r>
        <w:t>Anlässlich der polizeilichen Einvernahme gab der Beschwerdeführer zu Protokoll, er habe insgesamt an drei Tagen vielleicht eine Stunde oder sogar weniger gearbeitet. Er habe Autoteile in der Firma in B._______ abgeholt und zu seinem Cousin Y.________ nach C._______ gefahren. Dieser sei zu beschäftigt gewesen, weshalb er ihm geholfen habe. Er habe keinen Lohn erhalten (kant.-pag. S. 3 ff.).</w:t>
      </w:r>
    </w:p>
    <w:p>
      <w:r>
        <w:rPr>
          <w:b/>
        </w:rPr>
        <w:t>E. 5.5</w:t>
      </w:r>
    </w:p>
    <w:p>
      <w:r>
        <w:t>Laut Rapport der Kantonspolizei Aargau vom 6. Juli 2015 wurde der Beschwerdeführer anlässlich einer Kontrolle durch das Amt für Migration und Integration beim Be- und Entladen der Firmenfahrzeuge der A._______ angetroffen (kant.-pag. 26).</w:t>
      </w:r>
    </w:p>
    <w:p>
      <w:r>
        <w:rPr>
          <w:b/>
        </w:rPr>
        <w:t>E. 5.6</w:t>
      </w:r>
    </w:p>
    <w:p>
      <w:r>
        <w:t>Aufgrund der Aktenlage ist davon auszugehen, dass der Beschwerdeführer ohne Bewilligung erwerbstätig war.</w:t>
      </w:r>
    </w:p>
    <w:p>
      <w:r>
        <w:rPr>
          <w:b/>
        </w:rPr>
        <w:t>E. 5.7</w:t>
      </w:r>
    </w:p>
    <w:p>
      <w:r>
        <w:t>Davon ist im Übrigen auch die strafurteilende Behörde ausgegangen, wurde der Beschwerdeführer doch mit Strafbefehl der Staatanwaltschaft Baden vom 21. Oktober 2015 wegen rechtswidrigen Aufenthalts und Erwerbstätigkeit ohne Bewilligung mit einer Geldstrafe von 30 Tagessätzen, bedingt aufgeschoben bei einer Probezeit von zwei Jahren, und einer Busse von Fr. 300.- verurteilt (zur Bindung der Administrativbehörde an die Erkenntnis der strafurteilenden Behörde vgl. BVGE 2013/33 E. 4.3; BGE 136 II 447 E. 3.1 je m.H.).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Eine Ausnahmesituation, wo der Erwerbscharakter durch eine besondere verwandtschaftliche oder emotionale Nähe in den Hintergrund gedrängt wird, liegt nicht vor (vgl. dazu Urteil des BVGer C-5190/2014 vom 25. September 2015 E. 5.3.3 m.H.). Die vom Beschwerdeführer erledigte Tätigkeit wird üblicherweise gegen Entgelt vorgenommen, weshalb sogar dann eine Bewilligungspflicht besteht, wenn sie unentgeltlich erfolgt (Art. 11 Abs. 2 AuG). Dies war hier indessen nicht der Fall, hat der Cousin für den Beschwerdeführer doch Logis übernommen. Ebenfalls nicht entscheidend ist, dass die Beschäftigung nur vorübergehend ausgeübt wurde (Art. 1a Abs. 1 VZAE). 6.3 Für die Verhängung eines Einreiseverbots ist zudem - wie die Vor- 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C-6661/2014 vom 22. Oktober 2015 E. 6.4). 6.4 Die Staatsanwaltschaft bestrafte den Beschwerdeführer mit einer Geldstrafe, ging also davon aus, dass er vorsätzlich - d.h. mit Wissen und Willen - ausländerrechtliche Bestimmungen verletzt hat (vgl. Art. 12 Abs. 2 f. StGB sowie Art. 115 Abs. 1 Bst. c i.V.m. Art. 115 Abs. 3 AuG). Selbst wenn man lediglich von einem fahrlässigen Handeln des Beschwerdeführers ausginge - zumindest eine Sorgfaltspflichtverletzung ist ihm zuzurechnen, weil er sich über bestehende Rechte und Pflichten ins Bild hätte setzen müssen - bestünde hinreichender Anlass zum Erlass einer Fernhaltemassnahme (vgl. Urteil des BVGer C-6661/2014 vom 22. Oktober 2015 E. 6.5 m.H.). 6.5 Der Beschwerdeführer ist somit durch seine Tätigkeit einer Erwerbstätigkeit nachgegangen, ohne im Besitz der hierfür erforderlichen Bewilligung zu sein (vgl. Art. 115 Abs. 1 Bst. c i.V.m. Art. 11 AuG und Art. 1a Abs. 1 VZAE). 6.6 Durch die Aufnahme einer Erwerbstätigkeit ohne Bewilligung hat der Beschwerdeführer gegen die öffentliche Sicherheit und Ordnung verstossen und damit hinreichenden Anlass für die Verhängung eines Einreiseverbotes gegeben (vgl. Art. 67 Abs. 2 Bst. a AuG; Art. 80 Abs. 1 Bst. a VZAE).</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6. Aufl., Zürich und St.Gallen 2010, Rz. 613 f.).</w:t>
      </w:r>
    </w:p>
    <w:p>
      <w:r>
        <w:rPr>
          <w:b/>
        </w:rPr>
        <w:t>E. 7.2</w:t>
      </w:r>
    </w:p>
    <w:p>
      <w:r>
        <w:t>Der Beschwerdeführer ging in der Schweiz ohne Bewilligung einer Erwerbstätigkeit nach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Diese können in den Beziehungen zu Verwandten in der Schweiz erblickt werden,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Verwandten auch auf andere Weise als durch Besuche in der Schweiz pflegen (z.B. Briefverkehr, Telefonate, Besuche der Verwandten in seinem Heimatland). Die zweijährige Dauer der Fernhaltemassnahme entspricht sodann der Praxis des Gerichts in vergleichbaren Fällen (vgl. z.B. die Urteile des BVGer C-6661/2014 vom 22. Oktober 2015 E. 7, C-1608/2015 vom 26. August 2015 E. 5, C-6052/2013 vom 30. Juni 2015 E. 6, C-5556/2014 vom 28. Mai 2015 E. 5, C-7314/2014 vom 30. März 2015 E. 5, C 6993/2014 vom 30. März 2015 E. 5; C-3698/2012 vom 20. Februar 2014 E. 5; C 447/2013 vom 31. Januar 2014 E. 5; C 6693/2011 vom 1. März 2013 E. 5, C-4953/2010 vom 24. August 2012 E.7).</w:t>
      </w:r>
    </w:p>
    <w:p>
      <w:r>
        <w:rPr>
          <w:b/>
        </w:rPr>
        <w:t>E. 7.4</w:t>
      </w:r>
    </w:p>
    <w:p>
      <w:r>
        <w:t>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sowie BVGE 2014/20 E. 8.5 m.H.). Es bleibt den Schengen-Staaten überdies unbenommen, dem Beschwerdeführer bei Vorliegen besonderer Gründe die Einreise ins eigene Hoheitsgebiet zu gestatten (vgl. E. 4.2 sowie Art. 67 Abs. 5 AuG).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26. Juni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