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C-2882/2010 vom 20. Juni 2011</w:t>
      </w:r>
    </w:p>
    <w:p>
      <w:r>
        <w:t>Bundesverwaltungsgericht, 2011-06-20, DE</w:t>
      </w:r>
    </w:p>
    <w:p>
      <w:r>
        <w:rPr>
          <w:b/>
        </w:rPr>
        <w:t xml:space="preserve">Quelle: </w:t>
      </w:r>
      <w:r>
        <w:t>https://mcp.opencaselaw.ch/entscheid/bvger_C-2882_2010</w:t>
      </w:r>
    </w:p>
    <w:p>
      <w:r>
        <w:t>FR: TAF C-2882/2010 du 20 juin 2011</w:t>
      </w:r>
    </w:p>
    <w:p>
      <w:r>
        <w:t>IT: TAF C-2882/2010 del 20 giugno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Urteil des Bundesge­richts 2A.451/2002 vom 28. März 2003 E. 1.2, nicht publiziert in BGE 129 II 215).</w:t>
      </w:r>
    </w:p>
    <w:p>
      <w:r>
        <w:rPr>
          <w:b/>
        </w:rPr>
        <w:t>E. 3.1</w:t>
      </w:r>
    </w:p>
    <w:p>
      <w:r>
        <w:t>Die Beschwerdeführerin stellt in formeller Hinsicht das Begehren, die Vernehmlassung der Vorinstanz vom 13. Oktober 2010 sei aus den Akten zu weisen, da sie nicht innert der vom Bundesverwaltungsgericht angesetz­ten Frist ergangen sei.</w:t>
      </w:r>
    </w:p>
    <w:p>
      <w:r>
        <w:rPr>
          <w:b/>
        </w:rPr>
        <w:t>E. 3.2</w:t>
      </w:r>
    </w:p>
    <w:p>
      <w:r>
        <w:t>Es trifft zwar zu, dass der Vorinstanz in einer Zwischenverfügung vom 7. September 2010 Frist zur Stellungnahme bis zum 8. Oktober 2010 angesetzt worden war, die Vernehmlassung aber vom 13. Oktober 2010 da­tiert und tags darauf beim Bundesverwaltungsgericht eingegangen ist.</w:t>
      </w:r>
    </w:p>
    <w:p>
      <w:r>
        <w:rPr>
          <w:b/>
        </w:rPr>
        <w:t>E. 3.3</w:t>
      </w:r>
    </w:p>
    <w:p>
      <w:r>
        <w:t>In Bezug auf mögliche Rechtsfolgen einer solchen Verspätung über­sieht die Beschwerdeführerin allerdings, dass es sich bei der zur Einrei­chung der Vernehmlassung angesetzten Frist nicht um eine Verwirkungs-, sondern um eine reine Ordnungsfrist handelt. Dies ergab sich schon aus der fehlenden Androhung allfälliger Säumnisfolgen (vgl. zum Ganzen Bernard Maitre / Vanessa Thalmann in: Praxiskommentar VwVG, Wald­mann / Weissenberger [Hrsg], Zürich 2009 [nachfolgend: Praxiskommen­tar], Rz. 3 zu Art. 22 und Rz. 2 ff. zu Art. 23). Die Bedeutung einer solchen Verspätung ist auch insofern zu relativieren, als der Untersu­chungs­grundsatz gebieten kann, selbst ungebeten oder verspätet eingereichte Stellungnahmen zu berücksichtigen, den andern Verfahrensbeteiligten zur Kenntnis zu bringen und allenfalls zum Anlass für die Eröffnung eines weiteren Schriftenwechsels zu nehmen (vgl. dazu Frank Seethaler / Kaspar Plüss, Praxiskommentar, Rz. 23 zu Art. 57).</w:t>
      </w:r>
    </w:p>
    <w:p>
      <w:r>
        <w:rPr>
          <w:b/>
        </w:rPr>
        <w:t>E. 3.4</w:t>
      </w:r>
    </w:p>
    <w:p>
      <w:r>
        <w:t>Die Verspätung in der Abgabe der Vernehmlassung hat vorliegend auch nicht dazu geführt, dass die Rechte der Beschwerdeführerin in ir­gend einer Weise beeinträchtigt worden wären. Das Bundesverwaltungsge­richt hat keinen Anlass, dem nicht weiter begründe­ten Antrag statt zu geben.</w:t>
      </w:r>
    </w:p>
    <w:p>
      <w:r>
        <w:rPr>
          <w:b/>
        </w:rPr>
        <w:t>E. 4</w:t>
      </w:r>
    </w:p>
    <w:p>
      <w:r>
        <w:t>Die Vorinstanz vertritt die Auffassung, dass der von der Beschwerdeführe­rin angestrebte Besuch ihrer kranken Schwester in der beabsichtigten Form als bewilligungspflichtige Erwerbstätigkeit zu qualifizieren sei. Dabei geht die Vorinstanz allerdings (aus den Formulierungen in der Vernehmlas­sung zu schliessen) davon aus, dass gestützt auf die bisheri­gen Erfah­rungen mit den Beteiligten wiederum ein mehr als dreimonatiger Aufenthalt angestrebt werde.</w:t>
      </w:r>
    </w:p>
    <w:p>
      <w:r>
        <w:rPr>
          <w:b/>
        </w:rPr>
        <w:t>E. 4.1</w:t>
      </w:r>
    </w:p>
    <w:p>
      <w:r>
        <w:t>Die Beschwerdeführerin beteuert demgegenüber, während maximal dreier Monate ihre Schwester in der Schweiz besuchen und ihr beistehen zu wollen. Die Schwester ist verheiratet und hat zwei inzwischen volljäh­rige Kinder. Sie ist in einem fortgeschrittenen Stadium an Multipler Skle­rose erkrankt. Aus den Attesten des behandelnden Arztes zu schliessen hat die Erkrankung schon vor Jahren zu einer Gehunfähigkeit und zu ei­nem weitgehenden Verlust des Sehvermögens geführt. Die Patientin benö­tigt Pflege und Betreuung rund um die Uhr, welche offenbar von den Angehörigen und der SPITEX erbracht wird. In dem von ihr und ihrem Ehe­mann unterzeichneten Einladungsschreiben vom 15. Januar 2010 bringt sie zum Ausdruck, dass ihre Krankheit ein finales Stadium erreicht habe und ihr wichtig sei, die ihr verbleibende Zeit mit Menschen verbrin­gen zu können, die ihr naheständen. An diesen Verhältnissen hat sich in der Zwischenzeit nichts geändert.</w:t>
      </w:r>
    </w:p>
    <w:p>
      <w:r>
        <w:rPr>
          <w:b/>
        </w:rPr>
        <w:t>E. 4.2</w:t>
      </w:r>
    </w:p>
    <w:p>
      <w:r>
        <w:t>Die Rechtsprechung geht davon aus, dass der gegenseitige Beistand zwischen nahen Verwandten keine Erwerbstätigkeit im Sinne von Art. 11 Abs. 2 AuG darstellt, solange er mit Blick auf die konkreten Umstände des Einzelfalles noch als üblich bzw. sozialadäquat betrachtet werden kann (vgl. Entscheid des Eidgenössischen Justiz- und Polizeideparte­ments vom 22. September 1997, auszugsweise publiziert in: Verwaltungs­praxis der Bundesbehörden [VPB] 63.37; vgl. auch Philipp Egli / Tobias D. Meyer, in: Martina Caroni / Thomas Gächter / Daniela Thurnherr [Hrsg.], Stämpflis Hand­kom­mentar zum Bundesgesetz über die Ausländerinnen und Ausländer, Art. 11, N. 6 ff.; sowie Marc Spescha, in: Marc Spescha / Hanspeter Thür / Andreas Zünd / Peter Bolzli [Hrsg.], Kom­mentar Migrationsrecht, Zürich 2009, Art. 11 N.3). In casu wäre angesichts des prekären gesund­heitlichen Zustands der Gastgeberin und der engen verwandtschaftlichen und emotionalen Beziehung zwischen ihr und der Beschwerdeführerin auch eine engma­schigere Betreuung noch nicht als Erwerbstätigkeit im Sinne des Gesetzes zu bewerten. Dies jedenfalls solange nicht, als der Aufenthalt der Be­schwerdeführerin den für erwerbslose Personen geltenden bewilligungs­freien Rahmen in zeitlicher Hinsicht nicht überschreitet.</w:t>
      </w:r>
    </w:p>
    <w:p>
      <w:r>
        <w:rPr>
          <w:b/>
        </w:rPr>
        <w:t>E. 5</w:t>
      </w:r>
    </w:p>
    <w:p>
      <w:r>
        <w:t>Der angefochtenen Verfügung liegt das Gesuch der Beschwerdeführerin um Erteilung eines Visums für einen dreimonatigen Aufenthalt in der Schweiz zu Grunde. Da die Beschwerdeführerin nicht zu den Personen ge­hört, denen das Abkommen vom 21. Juni 1999 zwischen der Schweizeri­schen Eidgenossenschaft einerseits und der Europäischen Ge­meinschaft und ihren Mitgliedstaaten andererseits über die Freizügig­keit (FZA, SR 0.142.112.681) oder das Abkommen zur Ände­rung des Übereinkommens zur Errichtung der Europäischen Freihan­delsassozia­tion vom 21. Juni 2001 (SR 0.632.31) ein Recht auf Per­sonenfreizügigkeit vermittelt und der beantragte Aufenthalt drei Mo­nate nicht übersteigt, fällt die vorliegende Streitsache in den Anwendungsbe­reich der Schen­gen-Asso­ziierungsabkommen. Mit diesen Ab­kommen hat die Schweiz den Schengen-Besitzstand und die dazugehö­renden gemeinschaftsrechtli­chen Rechtsakte (Schengen-Recht) übernommen. Das Schengen-Recht geht dem Bundesgesetz vom 16. Dezember 2005 über die Ausländerin­nen und Ausländer (AuG, SR 142.20) und seinen Ausführungsverordnun­gen vor (Art. 2 Abs. 2 bis 5 AuG).</w:t>
      </w:r>
    </w:p>
    <w:p>
      <w:r>
        <w:rPr>
          <w:b/>
        </w:rPr>
        <w:t>E. 6</w:t>
      </w:r>
    </w:p>
    <w:p>
      <w:r>
        <w:t>Die Voraussetzungen für die Erteilung eines Visums präsentieren sich im Anwendungsbereich des Schengen-Rechts wie folgt:</w:t>
      </w:r>
    </w:p>
    <w:p>
      <w:r>
        <w:rPr>
          <w:b/>
        </w:rPr>
        <w:t>E. 6.1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und das Visum zu verweigern, wenn die Voraussetzungen nicht erfüllt sind. Einen Anspruch auf Einreise und Vi­sum vermittelt auch das Schengen-Recht nicht (a.M. Philipp Egli / To­bias D. Meyer, a.a.O., Art. 5 N. 3 f.).</w:t>
      </w:r>
    </w:p>
    <w:p>
      <w:r>
        <w:rPr>
          <w:b/>
        </w:rPr>
        <w:t>E. 6.2</w:t>
      </w:r>
    </w:p>
    <w:p>
      <w:r>
        <w:t>Angehörige von Drittstaaten dürfen über die Aussengrenzen des Schen­gen-Raums für einen Aufenthalt von höchstens drei Monaten je Sechsmonatszeitraums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(nachfolgend: Verordnung (EG) Nr. 539/2001 des Rates),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Art. 5 Abs. 1 Bst. a und b die Ver­ordnung [EG] Nr. 562/2006 des Europäischen Parlaments und des Ra­tes vom 15. März 2006 über einen Gemeinschaftskodex für das Über-schreiten der Grenzen durch Personen [Schengener Grenzkodex, SGK], Art. 4 VEV).</w:t>
      </w:r>
    </w:p>
    <w:p>
      <w:r>
        <w:rPr>
          <w:b/>
        </w:rPr>
        <w:t>E. 6.3</w:t>
      </w:r>
    </w:p>
    <w:p>
      <w:r>
        <w:t>Im Weiteren setzt die rechtmässige Einreise von Drittstaatsangehöri­gen voraus, dass sie den Zweck und die Umstände ihres beabsichtigten Auf­enthalts belegen und hierfür über ausreichende finanzielle Mittel verfü­gen (Art. 5 Abs. 1 Bst. b AuG, Art. 5 Abs. 1 Bst. c und Abs. 3 SGK, Art. 14 Abs. 1 Bst. a-c der Verordnung (EG) Nr. 810/2009 des Europäischen Parla­ments und des Rates vom 13. Juli 20092 über einen Visakodex der Gemeinschaft [Visakodex, VK]). Namentlich haben sie in diesem Kontext zu belegen, dass sie den Schengen-Raum vor Ablauf des bewilligungs­freien Aufenthaltes verlassen, bzw. ausreichende Gewähr für eine fristge­rechte Wiederausreise zu bieten (Art. 14 Abs. 1 Bst. d und Art. 21 Abs. 1 VK sowie Art. 5 Abs. 2 AuG; vgl. dazu Philipp Egli / Tobias D. Meyer, a.a.O. Art. 5 N. 33). Sodann dürfen Drittstaatsangehörige nicht im Schenge­ner Informationssystem (SIS) zur Einreiseverweigerung ausge­schrieben sein. Sie dürfen des weiteren keine Gefahr für die öffentliche Ord­nung, die innere Sicherheit, die öffentliche Gesundheit oder die internati­onalen Beziehungen eines Mitgliedstaats darstellen. Insbeson­dere dür­fen sie nicht in den nationalen Datenbanken der Mitgliedstaaten zur Einreiseverweigerung aus denselben Gründen ausgeschrieben wor­den sein (Art. 5 Abs. 1 Bst. c AuG, Art. 5 Abs. 1 Bst. d und e SGK).</w:t>
      </w:r>
    </w:p>
    <w:p>
      <w:r>
        <w:rPr>
          <w:b/>
        </w:rPr>
        <w:t>E. 6.4</w:t>
      </w:r>
    </w:p>
    <w:p>
      <w:r>
        <w:t>Sind die vorerwähnten allgemeinen Voraussetzungen für eine rechtmäs­sige Einreise - Visum ausgenommen - nicht erfüllt, darf ein für den gesamten Schengen-Raum geltendes "einheitliches Visum" (zum Beg­riff vgl. Art. 2 Ziff. 3 VK) nicht erteilt werden (Art. 12 VEV, Art. 32 VK).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(zum Begriff vgl. Art. 2 Ziff. 4 VK) zu erteilen. Dieses Visum ist grund­sätzlich nur für das Ho­heitsgebiet des ausstellenden Staates gültig (Art. 12 Abs. 1 i.V.m. Art. 2 Abs. 4 VEV, Art. 32 Abs. 1 i.V.m. Art. 25 Abs. 1 Bst. a Ziff. i und Abs. 2 VK, unter denselben Voraussetzungen sind die Mitgliedstaaten berech­tigt, einer drittstaatsangehörigen Person die Ein­reise an den Aussengren­zen zu gestatten, vgl. Art. 2 Abs. 4 VEV und Art. 5 Abs. 4 Bst. c SGK).</w:t>
      </w:r>
    </w:p>
    <w:p>
      <w:r>
        <w:rPr>
          <w:b/>
        </w:rPr>
        <w:t>E. 7</w:t>
      </w:r>
    </w:p>
    <w:p>
      <w:r>
        <w:t>Die Beschwerdeführerin, die als Staatsangehörige der Republik Kosovo der Visumspflicht untersteht (Anhang I zur Verordnung [EG] Nr. 539/2001 des Rates vom 15. März 2001 [ABl. L 81 vom 21.03.2001, S. 1-7; zum vollständigen Quellennachweis vgl. Fussnote zu Art. 4 Abs. 1 VEV]), erfüllt - wie im Folgenden zu zeigen ist - die allgemeinen Einreisevoraussetzungen nicht.</w:t>
      </w:r>
    </w:p>
    <w:p>
      <w:r>
        <w:rPr>
          <w:b/>
        </w:rPr>
        <w:t>E. 7.1</w:t>
      </w:r>
    </w:p>
    <w:p>
      <w:r>
        <w:t>Nach dem bereits Gesagten wurde der Beschwerdeführerin in den Jah­ren 2006 bis 2008 je einmal ein für drei Monate gültiges Visum für ei­nen Besuch bei ihrer kranken Schwester in der Schweiz erteilt. In der Folge stellten die Beteiligten regelmässig - zwar vor Ablauf des bereits be­willigten Aufenthalts, aber auch ohne dass sich die Verhältnisse bei der Gastgeberin seit der Einreise wesentlich verändert hätten - Gesuche um Verlängerung. Im Jahre 2007 führte dies zu einer Verlängerung der Anwe­senheitsberechtigung um weitere drei Monate durch die kantonale Migrati­onsbehörde in Form einer Kurzaufenthaltsbewilligung. In den Jah­ren 2006 und 2008 verhielt es sich gleich, wobei die Betroffenen darüber hinaus noch versuchten, während der solchermassen verlängerten Anwe­senheit der Beschwerdeführerin eine Bewilligung zum dauernden Aufent­halt zu erreichen. Zwar ergeben sich aus den entsprechenden Akten der Vorinstanz keine Indizien dafür, dass die Beschwerdeführerin sich über die bewilligten bzw. tolerierten Zeiträume hinweg in der Schweiz aufgehal­ten hätte. Das ändert allerdings nichts daran, dass sie - einmal in der Schweiz - ihre jeweils im Verfahren um Erteilung eines Visums abge­gebene Zusicherung, das Land vor Ablauf des beantragten dreimonati­gen Visums wieder zu verlassen, regelmässig nicht aufrecht er­halten hat.</w:t>
      </w:r>
    </w:p>
    <w:p>
      <w:r>
        <w:rPr>
          <w:b/>
        </w:rPr>
        <w:t>E. 7.2</w:t>
      </w:r>
    </w:p>
    <w:p>
      <w:r>
        <w:t>Unter den gegebenen Umständen scheint die Annahme berechtigt, die Beteiligten könnten sich auch bei einer weiteren Visumserteilung wie­der gleich verhalten. Dies umso mehr, als sich die spezifischen Interes­sen der Beteiligten seit dem letzten Aufenthalt nicht verringert haben, im Ge­genteil davon auszugehen ist, dass sich diese weiter akzentuieren.</w:t>
      </w:r>
    </w:p>
    <w:p>
      <w:r>
        <w:rPr>
          <w:b/>
        </w:rPr>
        <w:t>E. 7.3</w:t>
      </w:r>
    </w:p>
    <w:p>
      <w:r>
        <w:t>Erhöht wird die Gefahr einer nicht fristgerechten Wiederausreise nach einem bewilligten dreimonatigen Besuchsaufenthalt durch die Situa­tion in der Republik Kosovo (vgl. dazu anstelle vieler Urteil des Bundesver­waltungsgerichts C-3996/2010 vom 17. Januar 2011 E. 8.3) und die persönlichen Verhältnisse der Beschwerdeführerin; sie ist ledig, ohne erkennbare familiäre Verpflichtung gegenüber ihren im Kosovo leben­den Familienangehörigen und ohne berufliche Anstellung.</w:t>
      </w:r>
    </w:p>
    <w:p>
      <w:r>
        <w:rPr>
          <w:b/>
        </w:rPr>
        <w:t>E. 7.4</w:t>
      </w:r>
    </w:p>
    <w:p>
      <w:r>
        <w:t>Die Ausstellung eines einheitlichen Schengen-Visums kommt nach dem bisher Gesagten nicht in Betracht (Art. 14 Abs. 1 Bst. d und Art. 21 Abs. 1 VK sowie Art. 5 Abs. 2 AuG). Insoweit ist die Verfügung der Vorinstanz zu bestätigen und das Hauptbegehren der Beschwerde abzuwei­sen.</w:t>
      </w:r>
    </w:p>
    <w:p>
      <w:r>
        <w:rPr>
          <w:b/>
        </w:rPr>
        <w:t>E. 8</w:t>
      </w:r>
    </w:p>
    <w:p>
      <w:r>
        <w:t>Hingegen bleibt zu prüfen, ob die Voraussetzungen für ein Visum mit räum­lich beschränkter Geltung gegeben sind.</w:t>
      </w:r>
    </w:p>
    <w:p>
      <w:r>
        <w:rPr>
          <w:b/>
        </w:rPr>
        <w:t>E. 8.1</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des Art. 5 Abs. 1 Bst. a, c, d und e des Schengener Grenzkodex abzuweichen (Art. 12 Abs. 1 i.V.m. Art. 2 Abs. 4 VEV, Art. 25 Abs. 1 Bst. a Ziff. i VK). In der Re­gel wird der betreffende Mitgliedstaat seinen Entscheid gestützt auf eine Abwägung der sich gegenüberstehenden Interessen fällen, wo­bei er die Voraussetzungen für ein Abweichen von den allgemeinen Einrei­sevor­aussetzungen - wie schon der Wortlaut der Bestimmung zeigt - nicht leicht­hin annehmen darf. In Beachtung des Grundsatzes der loya­len Zu­sammenarbeit, auf dem das Schengen-System beruht (vgl. Urteil des Ge­richtshof der Europäischen Gemeinschaften [EuGH] vom 31. Ja­nuar 2006 in der Rechtssache C-503/03, Kommission der Europäischen Gemein­schaf­ten gegen Königreich Spanien, Randnr. 37 und 56, Slg. 2006 S. I-1097), muss der Mitgliedstaat dem Umstand angemessen Rech­nung tragen, dass sein Entscheid über die Erteilung eines Visums mit räumlich beschränkter Gültigkeit nicht nur eigene Interessen berührt, son­dern in­folge des Wegfalles der Personenkontrollen an den Innengren­zen des Schengen-Raums auch die Interessen der übrigen Schengen-Staa­ten be­einträchtigen kann. Insoweit ist jeder Schengen-Staat Sach­walter der ei­genen Interessen und der Interessen aller übrigen Schen­gen-Staaten.</w:t>
      </w:r>
    </w:p>
    <w:p>
      <w:r>
        <w:rPr>
          <w:b/>
        </w:rPr>
        <w:t>E. 8.2</w:t>
      </w:r>
    </w:p>
    <w:p>
      <w:r>
        <w:t>Aufgrund der besonderen Umstände ist den Interessen der Beteiligten an einer Verwirklichung persönlicher Kontakte grosses Gewicht beizumessen. Die stark beeinträchtigte Mobilität der Gastgeberin dürfte eine Realisierung solcher Kontakte ausserhalb der Schweiz kaum zulassen. Vor diesem Hintergrund hat das öffentliche Interesse an einer Wahrung der Einreisevoraussetzungen zurückzustehen. Es ist nach Auffassung des Bundesverwaltungsgerichts am Platz, aus humanitären Gründen ein Visum mit räumlich beschränkter Gültigkeit zu erteilen.</w:t>
      </w:r>
    </w:p>
    <w:p>
      <w:r>
        <w:rPr>
          <w:b/>
        </w:rPr>
        <w:t>E. 9</w:t>
      </w:r>
    </w:p>
    <w:p>
      <w:r>
        <w:t>Im Rahmen vorstehender Erwägungen ist die Beschwerde teilweise gutzu­heissen. Die angefochtene Verfügung ist aufzuheben und die Vorin­stanz ist anzuweisen, der Beschwerdeführerin gestützt auf Art. 5 Abs. 4 Bst. c Schengener Grenzkodex i.V.m. Art. 2 Abs. 4 VEV bzw. Art. 25 Abs. 1 Bst. a Nr. i VK ein Visum mit räumlich beschränkter Gültigkeit zu erteilen.</w:t>
      </w:r>
    </w:p>
    <w:p>
      <w:r>
        <w:rPr>
          <w:b/>
        </w:rPr>
        <w:t>E. 10</w:t>
      </w:r>
    </w:p>
    <w:p>
      <w:r>
        <w:t>Der Beschwerdeführerin wurde für das Verfahren vor dem Bundesverwal­tungsgericht die unentgeltliche Rechtsprechung samt Verbeiständung durch den von ihr gewählten Rechtsvertreter gemäss Art. 65 Abs. 1 und 2 VwVG gewährt (Zwischenverfügung vom 7. September 2010). Bereits des­halb sind ihr keine Kosten aufzuerlegen. Die Vorinstanz wird ebenfalls nicht kostenpflichtig (Art. 63 Abs. 2 VwVG). Als teilweise obsiegende Par­tei hat die Beschwerdeführerin zudem Anspruch auf eine reduzierte Parteientschädi­gung für ihr erwachsene notwendige Kosten (Art. 7 Abs. 1 des Regle­ments vom 21. Februar 2008 über die Kosten und Entschädigungen vor dem Bundesverwaltungsgericht [VGKE, SR 173.320.2]). Die Parteient­schädigung ist zu Lasten der Vorinstanz auf Fr. 1'200.- festzusetzen (Art. 8 ff. VGKE). Unter Berücksichtigung der am 4. April 2011 vom Rechtsvertre­ter eingereichten Kostennote in der Höhe von Fr. 2'728.95 sind die übrigen ausgewiesenen Kosten der Rechtsvertretung, Fr. 1'528.95 (inkl. MwSt), von der erkennenden Gerichtsinstanz zu übernehmen. Die­ser Betrag ist von der Beschwerdeführerin dem Bundesverwaltungsge­richt zurückzuerstatten, sollte sie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