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C-2876/2006 vom 22. Februar 2008</w:t>
      </w:r>
    </w:p>
    <w:p>
      <w:r>
        <w:t>Bundesverwaltungsgericht, 2008-02-22, DE</w:t>
      </w:r>
    </w:p>
    <w:p>
      <w:r>
        <w:rPr>
          <w:b/>
        </w:rPr>
        <w:t xml:space="preserve">Quelle: </w:t>
      </w:r>
      <w:r>
        <w:t>https://mcp.opencaselaw.ch/entscheid/bvger_C-2876_2006</w:t>
      </w:r>
    </w:p>
    <w:p>
      <w:r>
        <w:t>FR: TAF C-2876/2006 du 22 février 2008</w:t>
      </w:r>
    </w:p>
    <w:p>
      <w:r>
        <w:t>IT: TAF C-2876/2006 del 22 febbraio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11. August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durch den - mittlerweile ordentlich vertretenen - Beschwerdeführer eingereicht (vgl. Art. 38 ff. und Art. 60 ATSG, Art. 52 VwVG). Als Adressat des die Einsprache abweisenden Entscheides ist der Beschwerdeführer berührt und er hat ein schutzwürdiges Interesse an deren Aufhebung oder Änderung (Art. 59 ATSG, Art. 48 Abs. 1 VwVG).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2.3</w:t>
      </w:r>
    </w:p>
    <w:p>
      <w:r>
        <w:t>Gemäss Art. 11b Abs. 1 VwVG haben Parteien, die in einem Verfahren Begehren stellen, der Behörde ihren Wohnsitz oder Sitz anzugeben. Wenn sie im Ausland wohnen, haben sie in der Schweiz ein Zustellungsdomizil zu bezeichnen, es sei denn, das Völkerrecht gestatte der Behörde, Mitteilungen im betreffenden Staat durch die Post zuzustellen. Der Beschwerdeführer und Rechtsanwalt Franklin Sedaj (mittlerweile Rechtsvertreter des Beschwerdeführers) wurden mehrmals auf die in Art. 11b Abs. 1 VwVG statuierte Pflicht, ein Zustellungsdomizil in der Schweiz zu bezeichnen, hingewiesen. Nachdem der Beschwerdeführer beantragt hatte, ihm die Post direkt an seine Adresse in Kosovo zu schicken, wurden er und Rechtsanwalt Franklin Sedaj nochmals darüber informiert, dass keine völkerrechtliche Regelung bestehe, wonach das Gericht seine Verfügungen und Entscheide in Kosovo direkt durch die Post zustellen könne. Mit Verfügung vom 4. April 2007 (zugestellt über das schweizerische Verbindungsbüro in Kosovo am 3. Oktober 2007) wurde der Beschwerdeführer aufgefordert, innert 30 Tagen ein Zustellungsdomizil in der Schweiz anzugeben, ansonsten würden ihm künftige Anordnungen und Entscheide gemäss Art. 36 Bst. b VwVG durch amtliche Publikation eröffnet. Da der Beschwerdeführer dieser Aufforderung nicht nachgekommen ist, wird dieses Urteil - im Dispositiv - durch Publikation im Bundesblatt eröffnet.</w:t>
      </w:r>
    </w:p>
    <w:p>
      <w:r>
        <w:rPr>
          <w:b/>
        </w:rPr>
        <w:t>E. 3</w:t>
      </w:r>
    </w:p>
    <w:p>
      <w:r>
        <w:t>Zunächst sind die für die Beurteilung der vorliegenden Streitsache wesentlichen Rechtssätze und die von der Rechtsprechung entwickelten Grundsätze darzustellen.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Serbien bzw. Kosovo, neue Abkommen über Soziale Sicherheit abgeschlossen. Für den Antragsteller als Bürger von Serbien bzw.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3.2</w:t>
      </w:r>
    </w:p>
    <w:p>
      <w:r>
        <w:t>Nach der Rechtsprechung stellt das Sozialversicherungsgericht bei der Beurteilung einer Streitsache in der Regel auf den bis zum Zeitpunkt des Erlasses des streitigen Einspracheentscheides (hier: 11. August 2006) eingetretenen Sachverhalt ab (BGE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 2001 S. 228 E. 2b mit Hinweisen).</w:t>
      </w:r>
    </w:p>
    <w:p>
      <w:r>
        <w:rPr>
          <w:b/>
        </w:rPr>
        <w:t>E. 3.6</w:t>
      </w:r>
    </w:p>
    <w:p>
      <w:r>
        <w:t>Gemäss Art. 28 Abs. 1 IVG haben Versicherte bei einem Invaliditätsgrad von mindestens 70 Prozent Anspruch auf eine ganze Rente, bei mindestens 60 Prozent auf eine Dreiviertelsrente, bei mindestens 50 Prozent auf eine halbe Rente oder auf eine Viertelsrente, wenn sie mindestens zu 40 Prozent invalid sind.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(betreffend die Staatsangehörigen eines Mitgliedstaates der Europäischen Gemeinschaften vgl. BGE 130 V 253 E. 2.3).</w:t>
      </w:r>
    </w:p>
    <w:p>
      <w:r>
        <w:rPr>
          <w:b/>
        </w:rPr>
        <w:t>E. 3.7</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 Bei Versicherten mit Wohnsitz im Ausland - für die das Staatsvertragsrecht keine Ausnahme vorsieht - entsteht der Rentenanspruch nach Art. 29 Abs. 1 lit. b IVG jedoch erst, wenn sie während eines Jahres ohne wesentlichen Unterbruch durchschnittlich mindestens zu 50 Prozent arbeitsunfähig gewesen sind und der Invaliditätsgrad nach Ablauf der Wartezeit mindestens 50 Prozent beträgt, weil Art. 28 Abs. 1ter IVG nicht eine blosse Auszahlungsvorschrift, sondern eine besondere Anspruchsvoraussetzung darstellt (BGE 121 V 264 E. 6c).</w:t>
      </w:r>
    </w:p>
    <w:p>
      <w:r>
        <w:rPr>
          <w:b/>
        </w:rPr>
        <w:t>E. 3.8</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3.9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3.10</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Streitig ist, ob der Beschwerdeführer bis zum Erlass des Einspracheentscheides im August 2006 in einem rentenberechtigenden Ausmass invalid geworden ist. Zu prüfen ist in erster Linie, ob eine langdauernde Arbeitsunfähigkeit im Sinne von Art. 6 ATSG aufgrund einer psychischen Störung vorliegt.</w:t>
      </w:r>
    </w:p>
    <w:p>
      <w:r>
        <w:rPr>
          <w:b/>
        </w:rPr>
        <w:t>E. 4.1</w:t>
      </w:r>
    </w:p>
    <w:p>
      <w:r>
        <w:t>Im Austrittsbericht der psychiatrischen Abteilung des Regionalspitals B._______ (IV-Akt. 32 und 33) betreffend die Hospitalisation vom 19. bis 27. September 2004 wird als Abschlussdiagnose eine akute psychotische Störung gemäss ICD-10 F23 angegeben. Der Patient verlasse die Klinik auf eigenen Wunsch. Der Austrittsbericht nach der erneuten Hospitalisation vom 1. bis 8. März 2006 enthält als Abschlussdiagnose "ängstlich-depressive Störung" gemäss ICD-10 F41.2 (IV-Akt. 54). Der Patient verlasse die Klinik auf eigenen Wunsch in einem gebesserten Zustand. In dem von der Verwaltung eingeholten Arztbericht vom 10. Oktober 2004 (IV-Akt. 8) führte Dr. H._______, Spezialist für Arbeitsmedizin, folgende Diagnosen auf: Psychosis acuta F23, Cephalea (Kopfschmerz) symptomatica, Sy depressivum, Lumboischalgia lat sin, Myopia, Presbiopia (Alterssichtigkeit). Der Versicherte sei seit dem 12. Februar 2000 krank und stehe seit dem Jahr 2004 in medizinischer Behandlung. Als notwendige medizinische Massnahme wird Psychotherapie angegeben. Es bestehe seit 1999 eine Arbeitsunfähigkeit im Umfang von 55-60%. Der Versicherte könne sowohl in seinem bisherigen Beruf als auch in einer anderen Tätigkeit eine Erwerbstätigkeit ausüben. Unter Bemerkungen führte er an, es wäre eine Begutachtung (in der Schweiz) erforderlich. In einem weiteren Bericht von Dr. H._______ vom 12. März 2006 (IV-Akt. 53) wird als Diagnose Cephalea persistens, Pseudoneurasthenie und Syndroma anxioso-depressiva angegeben. Der Invalidenkommission wird die Anerkennung der Invalidität empfohlen. Dr. C._______ hat in seinem psychiatrischen Gutachten vom 16. August 2005 (IV-Akt. 24) eine rezidivierende depressive Störung, gegenwärtig leichte Episode (ICD-10 F33.0) diagnostiziert. Das Gutachten beruht auf einer psychiatrischen Untersuchung von Dr. F._______ und Dr. G._______, beide Neuropsychiater, Klinik für Neurologie und Psychiatrie "aura" (Bericht vom 14. Juli 2005, IV-Akt. 23 und 37), und der psychologischen Abklärung durch K._______, Psychologin (Bericht vom 14. Juli 2005, IV-Akt. 34). Bei der psychiatrischen Untersuchung sei eine depressive Stimmung mit reduziertem Antrieb, aber ohne psychotische Symptomatik, festgestellt worden. Der Patient verbinde seine Störungen mit der Ungerechtigkeit, die ihm in der Schweiz widerfahren sei. In allen Berichten wird auf seine Frustration über seine Situation hingewiesen. Die psychologischen Test und die Exploration wiesen auf eine Persönlichkeitsstruktur hin, welche in frustrierenden Situationen zu depressiven Reaktionen neige. Im Gutachten wird gestützt auf den Bericht der beiden Neuropsychiater eine Arbeitsunfähigkeit von 30% attestiert. Zur Frage nach dem Beginn der Arbeitsunfähigkeit enthalten die medizinischen Stellungnahmen keine Aussagen. Gemäss dem mit Eingabe vom 13. April 2007 eingereichten Arztbericht (Formular YU/CH 4) von Dr. I._______, Psychiatrische Klinik Z._______, vom 13. April 2007 leidet der Beschwerdeführer an Pseudoneurasthenie (F48) und einem ängstlich-depressiven Syndrom (F34). Eine dritte Diagnose (Handschrift unleserlich) wird mit F43.0 angegeben, was gemäss ICD-10 einer akuten Belastungsreaktion entspricht (in anderen Kurzattesten gibt der gleiche Arzt F45, also somatoforme Störungen, an). Die Krankheit bestehe seit 1997, der Versicherte sei seit dem 25. Mai 2006 zu 50% arbeitsunfähig. Auf die Frage, ob der Versicherte eine Erwerbstätigkeit ausüben könne, antwortet der Arzt - soweit leserlich - mit "unmotiviert". Unter Bemerkungen führt er aus, die neuropsychiatrische Behandlung sei fortzusetzen und es sollten der Neurologe und der Hausarzt konsultiert werden. Im Verlauf des Verfahrens hat der Beschwerdeführer eine Vielzahl von Formular-Attesten eingereicht, welche sich - soweit die Handschrift überhaupt zu entziffern ist - auf die Angaben der Diagnosen und der Medikation beschränken.</w:t>
      </w:r>
    </w:p>
    <w:p>
      <w:r>
        <w:rPr>
          <w:b/>
        </w:rPr>
        <w:t>E. 4.2</w:t>
      </w:r>
    </w:p>
    <w:p>
      <w:r>
        <w:t>Dr. D._______ vom RAD hat mehrmals zu den medizinischen Akten Stellung genommen: In seinen beiden Berichten vom 10. Oktober 2005 (IV-Akt. 38) und vom 10. November 2005 (IV-Akt. 35) attestierte er dem Beschwerdeführer - im Unterschied zum Gutachten von Dr. C._______ - keine Arbeitsunfähigkeit. Er begründete dies damit, dass es sich bei der diagnostizierten rezidivierenden depressiven Störung um eine aktuell leichte Episode handle, welche nicht geeignet sei, eine langdauernde Arbeitsunfähigkeit zu bewirken. Zudem gäbe es im Gutachten mehrere Hinweise für eine Aggravation bzw. Übertreibung der Symptomatik seitens des Versicherten. Nach Eingang des Austrittsberichts betreffend die erneute Hospitalisation vom 1. bis 8. März 2006 und des Berichts von Dr. H._______ vom 12. März 2006 führte er aus, die Diagnose Angst und depressive Störung gemischt (gemäss ICD-10 F41.2) sei sehr nahe an der im August 2005 diagnostizierten depressiven Störung gemäss ICD-10 F33.0. Bei beiden handle es sich um leichte Störungen, die nie zu einer Arbeitsunfähigkeit führen könnten, jedenfalls nicht in der Schweiz. Der Facharzt für Arbeitsmedizin wiederhole in seinem Bericht die Diagnose gemäss F41.2 und vertrete die Ansicht, es liege eine Arbeitsunfähigkeit vor, ohne diese aber zu quantifizieren (Bericht vom 9. Juni 2006, IV-Akt. 59). Im Beschwerdeverfahren legte die IV-Stelle das Dossier erneut dem RAD vor. Im Bericht vom 11. Januar 2007 attestierte Dr. D._______ dem Beschwerdeführer eine Arbeitsunfähigkeit von 100% ab dem 1. Januar 2006. Dabei verwies er auf den Bericht über die Hospitalisation im März 2006, woraus zu schliessen sei, dass sich das Leiden gegenüber der Begutachtung im August 2005 verschlimmert habe. Soweit die Einschätzungen des RAD-Arztes zutreffen, würde - wie die Vorinstanz in ihrer Duplik vom 15. Januar 2007 zutreffend ausführt - ein Rentenanspruch frühestens ab dem 1. Januar 2007 entstehen und somit ausserhalb des vorliegend zu beurteilenden Streitgegenstandes liegen (siehe E. 3.2). Indessen fragt sich, ob die Stellungnahme des RAD vom 11. Januar 2007 nicht Zweifel an der Zuverlässigkeit der früheren Einschätzungen entstehen lässt, hat der RAD-Arzt doch zweimal unter Hinweis auf den (gleichen) Austrittsbericht der psychiatrischen Abteilung vom März 2006 Stellung genommen, wobei er einmal keine Beeinträchtigung der Arbeitsfähigkeit, das zweite Mal eine vollständige Arbeitsunfähigkeit attestierte.</w:t>
      </w:r>
    </w:p>
    <w:p>
      <w:r>
        <w:rPr>
          <w:b/>
        </w:rPr>
        <w:t>E. 4.3</w:t>
      </w:r>
    </w:p>
    <w:p>
      <w:r>
        <w:t>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 122 V 157 E. 1d; Urteil U 365/06 vom 26. Januar 2007 E. 4.1 mit Hinweisen). Eine fehlende fachspezifische Qualifikation stellt ein Indiz gegen die Zuverlässigkeit und damit den Beweiswert eines ärztlichen Berichts dar (Urteil des Bundesgerichts 9C_341/2007 vom 16. November 2007 E. 4.1, Urteil des Bundesgerichts I 211/06 vom 22. Februar 2007 E. 5.4.1). Die fachliche Qualifikation eines RAD-Arztes ist somit hinsichtlich des Beweiswertes seiner Aussagen von erheblicher Bedeutung (zur Publikation vorgesehenes Urteil des Bundesgerichts I 1098/06 vom 29. November 2007 E. 9.2). Aus den Akten lässt sich nicht erkennen, ob Dr. D._______ über eine fachärztliche Spezialisierung in Psychiatrie verfügt. Im Bericht vom 9. Juni 2006 weist er darauf hin, dass er die verschiedenen Berichte mit seinen psychiatrischen Kollegen des RAD studiert habe. Ihrer Ansicht nach seien die medizinischen Stellungnahmen ausreichend, um eine Arbeitsunfähigkeit aufgrund der diagnostizierten leichten psychiatrischen Störungen zu verneinen. Aufgrund dieser Ausführungen ist zu vermuten, dass Dr. D._______ selber keinen Facharzttitel in Psychiatrie hat (vgl. auch FMH-Index). Aus dem Bericht geht aber auch hervor, dass diese Stellungnahme auf einer gemeinsamen Beurteilung von Dr. D._______ und psychiatrischen Fachärzten beruht, weshalb die fehlende fachspezifische Qualifikation des unterzeichnenden Arztes den Beweiswert dieses Berichts nicht a priori mindert.</w:t>
      </w:r>
    </w:p>
    <w:p>
      <w:r>
        <w:rPr>
          <w:b/>
        </w:rPr>
        <w:t>E. 4.4</w:t>
      </w:r>
    </w:p>
    <w:p>
      <w:r>
        <w:t>Im psychiatrischen Gutachten von Dr. C._______ wird dem Beschwerdeführer eine 30%-ige Arbeitsunfähigkeit attestiert. Es fällt aber auf, dass sehr oft auf die Frustration des Exploranden über seine Situation bzw. über die Ungerechtigkeit, die ihm in der Schweiz widerfahren sei (Zahlungsunfähigkeit des Arbeitgebers, Verlust der Arbeitsstelle und anschliessend unfreiwillige Rückkehr in sein Heimatland; vgl. auch IV-Akt. 12, in welchen der Beschwerdeführer sinngemäss einen Schadenersatzanspruch geltend macht), hingewiesen wird. Ob der Gutachter auch invaliditätsfremde Gründe berücksichtigt hat, lässt sich nicht schlüssig beantworten. Es gilt aber jedenfalls zu beachten, dass nach der Rechtsprechung eine fachärztlich festgestellte psychische Störung von Krankheitswert umso ausgeprägter vorhanden sein muss, je stärker psychosoziale und soziokulturelle Faktoren wie beispielsweise Sorge um die Familie oder Zukunftsängste (etwa ein drohender finanzieller Notstand) im Einzelfall in den Vordergrund treten und das Beschwerdebild mitbestimmen. Wo die begutachtende Person im Wesentlichen nur Befunde erhebt, welche in den psychosozialen und soziokulturellen Umständen (als invaliditätsfremde Faktoren) ihre hinreichende Erklärung finden, gleichsam in ihnen aufgehen, ist kein invalidisierender psychischer Gesundheitsschaden gegeben (BGE 127 V 294 E. 5a mit Hinweis auf AHI 2000 S. 153 E. 3). Die Diagnose "Angst und depressive Störung, gemischt" gemäss ICD-10 F41.2 ist als im Grenzbereich dessen zu situieren, was noch als krankheitswertig im Sinne des Gesetzes anerkannt werden kann (Urteil des Bundesgerichts I 164/06 vom 27. April 2007 E. 3.1). Denn diese Kategorie kommt dann zum Tragen, wenn weder die Angst noch die Depression ein Ausmass erreichen, das eine Einzeldiagnose rechtfertigen würde. Auch eine leichte depressive Episode oder eine Neurasthenie erscheint in der Regel nicht als geeignet, eine langdauernde Arbeitsunfähigkeit zu bewirken (vgl. Urteil des Bundesgerichts I 362/06 vom 10. April 2007 E. 3.3.2). Die Annahme der RAD-Ärzte, dass es sich bei den im vorliegenden Fall angesichts der gestellten Diagnosen um leichte Störungen handle, welche keine langdauernde Arbeitsunfähigkeit bewirken könnten, erscheint deshalb nachvollziehbar. Dabei wird insbesondere auch die Rechtsprechung berücksichtigt, wonach eine fachärztlich diagnostizierte psychiatrische Störung allein noch keine Arbeitsunfähigkeit begründet und die Beurteilung, ob die Beeinträchtigungen mit zumutbarer Willensanstrengung überwindbar ist, nach einem weitgehend objektiven Massstab zu beurteilen ist (siehe E. 3.5). Nicht anderes ergibt sich aus dem im Beschwerdeverfahren eingereichten Bericht von Dr. I._______, Psychiatrische Klinik Z._______, vom 13. April 2007. Abgesehen davon, dass der Neuropsychiater erst ab dem 25. Mai 2006 eine Arbeitsunfähigkeit von 50% attestiert, womit diese für das vorliegende Verfahren noch nicht entscheiderheblich ist, diagnostiziert er vorwiegend Störungen, die ebenfalls im Grenzbereich von Krankheit und Nicht-Krankheit liegen. Für das depressive Syndrom verweist er beispielsweise auf F34. Gemäss ICD-10 handelt es sich hier um anhaltende affektive Störungen, bei denen einzelne Episoden selten, wenn überhaupt, ausreichend genug sind, um als hypomanische oder auch nur leichte depressive Episoden beschrieben zu werden.</w:t>
      </w:r>
    </w:p>
    <w:p>
      <w:r>
        <w:rPr>
          <w:b/>
        </w:rPr>
        <w:t>E. 4.5</w:t>
      </w:r>
    </w:p>
    <w:p>
      <w:r>
        <w:t>Zusammenfassend ist festzuhalten, dass die IV-Stelle zu Recht auf die Einschätzung des RAD gemäss Bericht vom 9. Juni 2006 abgestellt hat, wonach dem Beschwerdeführer eine Erwerbstätigkeit weiterhin vollumfänglich zumutbar sei. Der angefochtene Entscheid ist daher zu bestätigen.</w:t>
      </w:r>
    </w:p>
    <w:p>
      <w:r>
        <w:rPr>
          <w:b/>
        </w:rPr>
        <w:t>E. 4.6</w:t>
      </w:r>
    </w:p>
    <w:p>
      <w:r>
        <w:t>Nachdem der RAD-Arzt in seinem Bericht vom 11. Januar 2007 eine Verschlechterung des Gesundheitszustandes ab Januar 2006 als ausgewiesen erachtet hat und eine vollständige Arbeitsunfähigkeit attestierte, ist nicht auszuschliessen, dass der Beschwerdeführer mittlerweile die Voraussetzungen für einen Rentenanspruch erfüllt. Sofern die Vorinstanz davon ausgeht, der Versicherte hätte nun ein neues Leistungsgesuch zu stellen (vgl. Duplik vom 15. Januar 2007), kann ihr darin nicht gefolgt werden. Denn der Austrittsbericht betreffend die Hospitalisation im März 2006, welcher Grundlage für die Neubeurteilung bildete, wurde bereits im Einspracheverfahren eingereicht. Es rechtfertigt sich daher, die Einsprache vom 5. Dezember 2005 (welche sich allerdings nicht in den Akten befindet) als Neuanmeldung zu betrachten, obwohl das Verwaltungsverfahren zu diesem Zeitpunkt noch nicht abgeschlossen war. Bei der Neubeurteilung wird die IV-Stelle auch zu beachten haben, dass die Stellungnahmen des RAD von einem Arzt oder einer Ärztin mit der für die Beurteilung des medizinischen Sachverhalts erforderlichen Qualifikation verfasst werden müssen (siehe E. 4.3).</w:t>
      </w:r>
    </w:p>
    <w:p>
      <w:r>
        <w:rPr>
          <w:b/>
        </w:rPr>
        <w:t>E. 5</w:t>
      </w:r>
    </w:p>
    <w:p>
      <w:r>
        <w:t>Zu befinden bleibt noch über die Verfahrenskosten und eine allfällige Parteientschädigung.</w:t>
      </w:r>
    </w:p>
    <w:p>
      <w:r>
        <w:rPr>
          <w:b/>
        </w:rPr>
        <w:t>E. 5.1</w:t>
      </w:r>
    </w:p>
    <w:p>
      <w:r>
        <w:t>Verfahrenskosten werden keine erhoben, da es im vorliegenden Verfahren über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AHVG).</w:t>
      </w:r>
    </w:p>
    <w:p>
      <w:r>
        <w:rPr>
          <w:b/>
        </w:rPr>
        <w:t>E. 5.2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