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C-2870/2012 vom 16. Mai 2013</w:t>
      </w:r>
    </w:p>
    <w:p>
      <w:r>
        <w:t>Bundesverwaltungsgericht, 2013-05-16, FR</w:t>
      </w:r>
    </w:p>
    <w:p>
      <w:r>
        <w:rPr>
          <w:b/>
        </w:rPr>
        <w:t xml:space="preserve">Quelle: </w:t>
      </w:r>
      <w:r>
        <w:t>https://mcp.opencaselaw.ch/entscheid/bvger_C-2870_2012</w:t>
      </w:r>
    </w:p>
    <w:p>
      <w:r>
        <w:t>FR: TAF C-2870/2012 du 16 mai 2013</w:t>
      </w:r>
    </w:p>
    <w:p>
      <w:r>
        <w:t>IT: TAF C-2870/2012 del 16 maggio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Isabelle häner, Verwaltungsverfahren und Verwaltungsrechtspflege des Bundes, 2e éd,. Zurich 1998, n. 677).</w:t>
      </w:r>
    </w:p>
    <w:p>
      <w:r>
        <w:rPr>
          <w:b/>
        </w:rPr>
        <w:t>E. 3.1</w:t>
      </w:r>
    </w:p>
    <w:p>
      <w:r>
        <w:t>En l'espèce, A._______ est citoyen d'un Etat membre de la communauté européenne. Par conséquent, l'accord entre la Suisse et la Communauté européenne et ses Etats membres sur la libre circulation des personnes du 21 juin 1999 (ALCP, RS 0.142.112.681), dont son annexe II qui règle la coordination des systèmes de sécurité sociale, est applicable.</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En l'espèce, les règlements (CE) n°883/2004 et n°987/2009 sont applicables, les règlements précités (CEE) n° 1408/71 et (CEE) 574/72 sont selon l'art. 1er al. 1 en relation avec la section A ch. 3 et 4 dans la version en vigueur au 1er avril 2012 de l'annexe II à l'ALCP uniquement applicables entre les parties contractantes dans la mesure où le règlement (CE) n° 883/2004 ou (CE) 987/2009 y fait référence ou lorsque des affaires qui ont eu lieu par le passé sont concernées (cf. l'art. 87 par. 1 du règlement [CE] n°883/2004 et l'arrêt du Tribunal fédéral 8C_287/2012 du 15 novembre 2012 consid. 2.2).</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(CEE) n° 883/2004).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5</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et 51 par. 1 du règlement (CEE) n°883/2004]). Or, en l'espèce, le recourant a versé des cotisations à l'AVS/AI pendant plus de 3 ans (cf. supra let. A) et remplit donc la condition de la durée minimale de cotisations eu égard au moment de l'ouverture éventuelle du droit à la rente. Il reste à examiner s'il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8 août 2011 (six mois après le dépôt de la demande) jusqu'au 7 mai 2012, date de la décision attaquée marquant la limite dans le temps du pouvoir d'examen de l'autorité de recours (ATF 129 V 1 consid. 2.1 avec les réf).</w:t>
      </w:r>
    </w:p>
    <w:p>
      <w:r>
        <w:rPr>
          <w:b/>
        </w:rPr>
        <w:t>E. 6.3</w:t>
      </w:r>
    </w:p>
    <w:p>
      <w:r>
        <w:t>Si la capacité de gain d'une personne assurée s'améliore ou si elle s'aggrave, il y a lieu de considérer que ce changement diminue, respectivement accroît, le cas échéant, le droit aux prestations dès qu'il a duré trois mois sans interruption notable (cf. art. 88a al. 1 et 2 RAI), l'art. 29bis RAI étant réservé. Lorsque doit être prise, pour la première fois et en même temps, une décision concernant l'octroi d'une rente inférieure, suivie d'une rente supérieure ou l'octroi d'une rente plus élevée suivie d'une rente inférieure, l'augmentation de la rente, respectivement la réduction ou la suppression de la rente prend effet le premier jour du mois au cours duquel le laps de temps de trois mois arrive à son terme (Pratique VSI 2001 p. 274; RCC 1983 p. 487).</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8.1</w:t>
      </w:r>
    </w:p>
    <w:p>
      <w:r>
        <w:t>En l'espèce, il est admis que A._______ souffre principalement d'encéphalopathie post-anoxique à la suite d'un arrêt cardio-respiratoire survenu le 10 juillet 2010 et ayant nécessité la mise en place de deux stents. Il est également établi que l'assuré a développé à la suite de son arrêt cardiaque un syndrome confusionnel avec désorientation nocturne, des symptômes dépressifs légers, ainsi que des troubles cognitifs et moteurs (pces 20, 21 à 24, 33 à 35 et 42). Malgré une amélioration graduelle des ces troubles et la disparition de l'état confusionnel, l'assuré continue à présenter des détériorations cognitives (difficultés d'attention/concentration, pertes de mémoires; cf. pces 23, 24, 33 et 42).</w:t>
      </w:r>
    </w:p>
    <w:p>
      <w:r>
        <w:rPr>
          <w:b/>
        </w:rPr>
        <w:t>E. 8.2</w:t>
      </w:r>
    </w:p>
    <w:p>
      <w:r>
        <w:t>S'agissant de la capacité de travail du recourant dans son activité habituelle et dans des activités plus légères, le service médical de l'OAIE, dans une prise de position du 3 mars 2012 (pce 49), sur la base de l'appréciation du médecin de l'INSS (cf. formulaire E 213 du 27 septembre 2011; pce 34) et du dossier de la cause, reconnaît que l'assuré était totalement incapable de travailler depuis le 10 juillet 2010 (date de son arrêt cardiaque). L'OAIE retient ensuite une amélioration de l'encéphalopathie post-anoxique, eu égard à la disparition du syndrome confusionnel, des symptômes dépressifs et des troubles moteurs, permettant à l'assuré de reprendre une activité professionnelle depuis le 6 septembre 2011 (date de l'examen effectué par l'INSS); toutefois, en raison de la persistance des troubles de la mémoire et de l'attention, ainsi que de la thymie baissée, attestés par le formulaire E 213 du 27 septembre 2011 et des autres pièces au dossier, le Dr N._______, psychiatre interne à l'administration, estime que l'assuré ne peut pas reprendre son activité habituelle ou des activités plus légères à plus de 50%.</w:t>
      </w:r>
    </w:p>
    <w:p>
      <w:r>
        <w:rPr>
          <w:b/>
        </w:rPr>
        <w:t>E. 8.3</w:t>
      </w:r>
    </w:p>
    <w:p>
      <w:r>
        <w:t>Quant au recourant, il invoque que son incapacité de travail est totale depuis le 10 juillet 2010 sur la base des décisions de la sécurité sociale espagnole, lui ayant reconnu tout d'abord une incapacité de 75% dès le mois de février 2011 (pces 19 et 41), puis une incapacité de 100% en avril 2012 (TAF pce 1). Il se réfère également aux rapports médicaux de ses médecins traitants et de la sécurité sociale espagnole pour attester de son incapacité de travail absolue et permanente (cf. le rapport médical du 28 octobre 2011 de la Dresse K._______, le rapport du 25 novembre 2011 de la Dresse H._______, ainsi que le rapport du 16 novembre 2011 de la Dresse M._______; pces 41 et 42, pp. 1 et 5 s).</w:t>
      </w:r>
    </w:p>
    <w:p>
      <w:r>
        <w:rPr>
          <w:b/>
        </w:rPr>
        <w:t>E. 9.1</w:t>
      </w:r>
    </w:p>
    <w:p>
      <w:r>
        <w:t>Ainsi, est litigieux en l'espèce, la question de la capacité de travail du recourant depuis le 6 septembre 2011, le diagnostic et les limitations fonctionnelles du recourant pour la période antérieure faisant l'objet d'un large consensus médical. Le service médical de l'OAIE (pce 49) retient que l'assuré a retrouvé une capacité de travail de 50% dans son activité habituelle et à fortiori dans des activités de substitution plus légères, en se référant à l'appréciation ressortant du formulaire E 213 qui retient que l'assuré, stabilisé sur le plan cardiaque, présente toutefois des séquelles cognitives sous forme de perte de mémoire et de déficit de l'attention, l'empêchant de reprendre son activité habituelle de tenancier de bar à temps plein; le médecin de l'INSS estime que l'intéressé est apte à travailler 4 heures par jour dans son activité habituelle et à exercer des travaux légers ne nécessitant pas de porter des poids, de monter et descendre les escaliers/échelles, de travailler la nuit, sans exposition au froid/chaud, à l'humidité, au bruit ou aux émanations et ne comportant pas de risques de chutes. Le médecin ne se prononce pas sur le taux d'exigibilité dans des activités de substitution légères et propose une révision dans une année (pce 34).</w:t>
      </w:r>
    </w:p>
    <w:p>
      <w:r>
        <w:rPr>
          <w:b/>
        </w:rPr>
        <w:t>E. 9.2</w:t>
      </w:r>
    </w:p>
    <w:p>
      <w:r>
        <w:t>Tout d'abord, le Tribunal rappelle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suisse (chiffre 1021 de la Circulaire sur l'invalidité et l'impotence dans l'assurance-invalidité, CIIAI). Le fait que l'assurance sociale espagnole ait reconnu une incapacité totale de travail dans son activité habituelle à A._______ (pces 19, 41 et 42, p. 1; TAF pce 1) n'est dès lors pas déterminant. Par ailleurs, l'octroi d'une rente étrangère d'invalidité ne préjuge pas de l'appréciation de l'invalidité selon le droit suisse (ATF130 V 217, consid. 2.4).</w:t>
      </w:r>
    </w:p>
    <w:p>
      <w:r>
        <w:rPr>
          <w:b/>
        </w:rPr>
        <w:t>E. 9.3</w:t>
      </w:r>
    </w:p>
    <w:p>
      <w:r>
        <w:t>Ensuite, le recourant argue d'une incapacité de travail absolue et permanente l'empêchant d'exercer une quelconque activité professionnelle, se référant premièrement à un rapport médical du 16 novembre 2011 de la Dresse M._______ (pce 42, p. 1), qui le déclare en incapacité de travail en raison d'un syndrome confusionnel survenu après son arrêt cardiaque en juillet 2010 et qui constate que l'intéressé a été reconnu en incapacité permanente et absolue de travail en février 2011. Deuxièmement, le recourant se base également sur un bref rapport médical du 15 novembre 2011 de la Dresse H._______, médecin consulté concernant les problèmes de diabète du recourant, qui, listant les antécédents et les diagnostics de l'intéressé, déclare celui-ci en incapacité totale de travail pour tout type d'activités (pce 42, pp. 5 s.). Le Tribunal relève que la Dresse M._______ atteste d'une incapacité de travail de l'assuré en raison d'un syndrome confusionnel, qui a depuis lors disparu, et que la Dresse H._______ déclare l'assuré totalement incapable de travailler dans tout type d'activité, sans mentionner de déficits cognitifs, sans spécifier l'origine de l'incapacité de travail ni mentionner de limitations fonctionnelles. Or, s'agissant dans le cas d'espèce de mettre en balance d'une part l'appréciation du médecin de l'INSS et celle des médecins traitants de l'assuré, le Tribunal rappelle que le juge doit entre autre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w:t>
      </w:r>
    </w:p>
    <w:p>
      <w:r>
        <w:rPr>
          <w:b/>
        </w:rPr>
        <w:t>E. 9.4</w:t>
      </w:r>
    </w:p>
    <w:p>
      <w:r>
        <w:t>Pour finir, le Tribunal de céans relève que le rapport E 213 du 27 septembre 2011 repose sur une étude complète et circonstanciée de la situation médicale du recourant, explicitant les limitations fonctionnelles de l'intéressé, après avoir procédé aux différentes anamnèses et spécifiant quels diagnostics justifient une limitation de la capacité de travail de celui-ci. L'appréciation du médecin de l'INSS ne contient pas d'incohérences et aboutit à des conclusions claires et motivées, il n'y a partant aucune raison de ne pas accorder foi aux constatations et conclusions de celui-ci ou de donner préférence aux avis médicaux, par trop succincts et imprécis, des médecins traitant du recourant. Ceci, d'autant plus que sur la base du dossier médical complet et en particulier sur la base du formulaire E 213 du 27 septembre 2011, il ressort que l'encéphalopathie post-anoxique dont souffre l'assuré s'est améliorée, les symptômes confusionnels, les symptômes dépressifs et les troubles moteurs ayant disparu (cf. pces 23, 24, 33 et 34). Par ailleurs, le Tribunal relève qu'il n'est plus fait mention d'insuffisance respiratoire, ni dans le rapport médical du 15 novembre 2011 de la Dresse H._______, ni dans le formulaire E 213 du 27 septembre 2011, l'assuré ayant par ailleurs arrêté de fumer (pce 42, p. 5).</w:t>
      </w:r>
    </w:p>
    <w:p>
      <w:r>
        <w:rPr>
          <w:b/>
        </w:rPr>
        <w:t>E. 9.5</w:t>
      </w:r>
    </w:p>
    <w:p>
      <w:r>
        <w:t>Par conséquent, eu égard à ce qui précède, force est pour l'autorité de céans de se rallier à l'avis de l'OAIE (pces 49, 50, 58 s.; TAF pce 3) et de considérer que le recourant en incapacité de travail depuis le 10 juillet 2010 en raison d'un arrêt cardiaque compliqué d'une encéphalopathie post-anoxique avec syndrome confusionnel, déficits moteurs et cognitifs, ainsi que symptômes dépressifs, a retrouvé une capacité de travail de 50% dans son activité habituelle et dans des activités légères respectant ses limitations fonctionnelles, par exemple comme concierge/gardien d'immeuble, surveillant, caissier, vendeur de billet, ou dans des activités simples de bureau (pce 49, p. 5 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l'autorité inférieure a procédé à une comparaison en pour-cent, confondant le taux d'invalidité avec l'incapacité de travail de 50% présentée par l'assuré dans son activité habituelle, ce qui n'est pas contraire au droit (cf. arrêts du Tribunal fédéral 9C_100/2010 du 23 mars 2010 consid. 2; 9C_900/2009 du 27 avril 2010 consid. 3.1; ATF 114 V 310, consid. 3a). En l'occurrence, eu égard aux constats convaincants ressortant du formulaire E 213 du 27 septembre 2011 (pce 49) selon lesquels l'assuré a retrouvé une capacité de travail de 50% dès le 6 septembre 2011 dans son activité habituelle, la manière de faire de l'autorité inférieure ne semble pas non plus être critiquable sur ce point.</w:t>
      </w:r>
    </w:p>
    <w:p>
      <w:r>
        <w:rPr>
          <w:b/>
        </w:rPr>
        <w:t>E. 11.2</w:t>
      </w:r>
    </w:p>
    <w:p>
      <w:r>
        <w:t>Quoiqu'il en soit, il convient par surabondance de relever que même si l'on effectuait une comparaison des revenus avant invalidité et après invalidité qui seraient hypothétiquement perçus dans des activités de substitution exercées à 50%, cela n'aurait aucune incidence sur l'issue de la cause. En effet, en procédant à la comparaison des revenus selon la méthode générale, en se référant aux données statistiques résultant de l'Enquête suisse sur les salaires (ESS) au moment déterminant, soit en 2011 (date de la survenance du droit éventuel à la rente; six mois après le dépôt de la demande de prestations AI [art. 29 al. 1 LPGA; ATF 129 V 222 consid. 4.3.1 et 4.4; ATF 128 V 174]), on arrive également à un taux d'invalidité ouvrant le droit à une demi-rente d'invalidité. Il se justifie dans le cas d'espèce de déterminer le salaire avant invalidité sur la base, non pas du dernier salaire effectué en Espagne, mais sur les données statistiques suisses, étant donné que faute de connaître la méthodologie d'établissement des statistiques espagnoles, on ne sait si elles présentent la même fiabilité et représentativité que celles disponibles en Suisse (cf. arrêt du TF 9C_839/2008 du 29 octobre 2009 consid. 6.1.; arrêt du Tribunal fédéral I 232/06 du 25 octobre 2006 consid. 4 et arrêt du TAF C-3053/2006 du 4 septembre 2008 consid. 10.2.2). Ainsi, en se référant au salaire statistique d'un homme travaillant dans la restauration et l'hôtellerie, niveau 3, selon l'enquête sur les salaires suisses 2010 (ci-après: l'ESS; TA1, Salaire mensuel brut selon les branches économiques (NOGA08) - Secteur privé - Suisse), il en résulte un salaire mensuel de Fr. 4'383.-- et de Fr. 4'678.11 après indexation à l'année 2011 (cf. l'évolution des salaires nominaux, des prix à la consommation et des salaires réels, 1976-2011 publiés par l'OFS) et au temps de travail hebdomadaire dans ce secteur en 2011 (42.3h/semaine; Table B 9.2 in: La Vie économique 10-2012, p. 94). S'agissant du salaire après invalidité, on devrait retenir le salaire moyen pour un homme, niveau de qualification 4 dans les secteurs de services cités par le médecin de l'OAIE (pce 49) en 2010 (Fr. 4'536.--), indexé à l'année 2011 et adapté au temps de travail hebdomadaire moyen dans ce secteur en 2011 de 41.7 h/semaine (cf. ref. citées ci-dessus), à savoir un salaire après invalidité de Fr. 2'386.37 (50% de Fr. 4'772.74). En accordant encore un abattement sur le salaire invalide de 15% (cf. pce 38), on arrive à un salaire après invalidité de Fr. 2'028.41, qui, comparé avec le salaire avant invalidité de Fr. 4'678.11, fait apparaître une perte de gain de 57% ([4'678.11 - 2'028.41] x 100 / 4'678.11).</w:t>
      </w:r>
    </w:p>
    <w:p>
      <w:r>
        <w:rPr>
          <w:b/>
        </w:rPr>
        <w:t>E. 12</w:t>
      </w:r>
    </w:p>
    <w:p>
      <w:r>
        <w:t>Partant, le recours du 24 mai 2012 doit être rejeté et la décision du 7 mai 2012 de l'autorité intimée confirmée.</w:t>
      </w:r>
    </w:p>
    <w:p>
      <w:r>
        <w:rPr>
          <w:b/>
        </w:rPr>
        <w:t>E. 13</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d'un montant de Fr. 412.-- déjà versée. Les Fr. 12.-- versés en trop par le recourant, lui seront restitués dès l'entrée en force du présent arrêt (TAF pces 4 à 8).° Il n'est pas alloué de dépens (art. 64 al. 1PA a contrario en relation avec les art. 7 ss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