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C-286/2012 vom 7. August 2014</w:t>
      </w:r>
    </w:p>
    <w:p>
      <w:r>
        <w:t>Bundesverwaltungsgericht, 2014-08-07, DE</w:t>
      </w:r>
    </w:p>
    <w:p>
      <w:r>
        <w:rPr>
          <w:b/>
        </w:rPr>
        <w:t xml:space="preserve">Quelle: </w:t>
      </w:r>
      <w:r>
        <w:t>https://mcp.opencaselaw.ch/entscheid/bvger_C-286_2012</w:t>
      </w:r>
    </w:p>
    <w:p>
      <w:r>
        <w:t>FR: TAF C-286/2012 du 7 août 2014</w:t>
      </w:r>
    </w:p>
    <w:p>
      <w:r>
        <w:t>IT: TAF C-286/2012 del 7 agosto 2014</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Ablehnung der Ausstellung von Reisedokumenten für ausländische Personen (vgl. Art. 59 AuG (SR 142.20) sowie Art. 1 der Verordnung über die Ausstellung von Reisedokumenten für ausländische Personen vom 14. November 2012 [RDV, SR 143.5]) eine Verfügung im erwähnten Sinne und daher ein zulässiges Anfechtungsobjekt erlassen hat. Eine Ausnahme nach Art. 32 VGG liegt nicht vor. Das Bundesverwaltungsgericht entscheidet in der vorliegenden Angelegenheit endgültig (Art. 83 Bst. c Ziff. 6 BGG).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Beschwerdeführenden sind als Verfügungsadressaten zur Beschwerde legitimiert (Art. 48 Abs. 1 VwVG). Auf die frist- und formgerecht einge­reichte Beschwerde ist einzutreten, soweit sie nicht gegenstandslos geworden ist (Art. 50 und 52 VwVG). 2.Mit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 3.Am 1. Dezember 2012 trat die neue RDV in Kraft, welche die bisherige Verordnung vom 20. Januar 2010 über die Ausstellung von Reisedokumenten für ausländische Personen (RDV von 2010, AS 2010 621) ersetzt. Gemäss der Übergangsbestimmung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 4.4.1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 4.2 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 4.3 Damit eine Rückkehr in den Heimatstaat jederzeit möglich bleibt, müssen ausländische Personen während ihres Aufenthaltes in der Schweiz im Besitze eines gültigen, nach Art. 13 Abs. 1 AuG anerkannten Ausweispapiers sein (Uebersax, Einreise und Anwesenheit, in: Uebersax/Rudin/Hugi Yar/Geiser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Im vorliegenden Verfahren ist demnach zu prüfen, ob die Vorinstanz hinsichtlich der Beschwerdeführerin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dabei in diesem Zusammenhang nicht nach subjektiven, sondern nach objektiven Massstäben zu beurteilen (vgl. Urteil des Bundesgerichts 2A.335/2006 vom 18. Oktober 2006 E. 2.1 mit Hinweis).</w:t>
      </w:r>
    </w:p>
    <w:p>
      <w:r>
        <w:rPr>
          <w:b/>
        </w:rPr>
        <w:t>E. 5.2</w:t>
      </w:r>
    </w:p>
    <w:p>
      <w:r>
        <w:t>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die Beschwerdeführerin - im Besitze einer Aufenthaltsbewilligung und nicht als Flüchtlinge anerkannt sind, eine solche Kontaktaufnahme im Hinblick auf die Beschaffung von Reisedokumenten verlangt werden kann. Die Beschwerdeführerin erhebt denn auch - zu Recht - keine Einwände gegen eine Kontaktaufnahme mit den heimatlichen Behörden, hat sie sich doch bereits mit der heimatlichen Vertretung in Verbindung gesetzt. Die Beschwerdeführerin ist somit nicht als schriftenlos im Sinne von Art . 10 Abs. 1 Bst. a RDV zu betrachten.</w:t>
      </w:r>
    </w:p>
    <w:p>
      <w:r>
        <w:rPr>
          <w:b/>
        </w:rPr>
        <w:t>E. 5.3</w:t>
      </w:r>
    </w:p>
    <w:p>
      <w:r>
        <w:t>Streitig ist somit allein, ob der Beschwerdeführerin die Beschaffung von heimatlichen Reisedokumenten möglich ist. Eine Unmöglichkeit nach Art. 10 Abs. 1 Bst. b RDV wird angenommen, wenn eine Person an Auslandreisen gehindert wird, weil sich die heimatlichen Behörden ohne hinreichenden Grund - und damit willkürlich - weigern, ein Reisepapier auszustellen (vgl. Urteil des Bundesverwaltungsgerichts C-1217/2009 vom 12. Juni 2009 E. 4.3.5).</w:t>
      </w:r>
    </w:p>
    <w:p>
      <w:r>
        <w:rPr>
          <w:b/>
        </w:rPr>
        <w:t>E. 5.3.1</w:t>
      </w:r>
    </w:p>
    <w:p>
      <w:r>
        <w:t>Die Beschwerdeführerin macht geltend, die Vertretung des Königreichs Bhutan in Genf habe sich geweigert, ihr einen bhutanischen Reisepass bzw. eine bhutanische Identitätskarte auszustellen. Zum Beleg dafür reichte sie einen Antrag an die bhutanische Botschaft in Genf um Ausstellung eines Reisedokuments vom 28. April 2008 ein und machte geltend, dieser sei nie beantwortet worden. Die Beschwerdeführerin bringt indessen nicht vor und den Akten sind keine Anhaltspunkte dafür zu entnehmen, dass sie sich nach dem Jahr 2008 nochmals an die bhutanische Botschaft in Genf gewandt hätte, um die Ausstellung eines Reisedokuments zu erwirken. Seit ihrem einzigen schriftlichen Gesuch sind mittlerweile mehr als sechs Jahre vergangen. Rechnet man die Möglichkeit administrativer Fehlläufe mit ein, so muss ein einziges Schreiben innerhalb von sechs Jahren als ungenügende Bemühung angesehen werden. Die Beschwerdeführerin bring des Weiteren vor, die Vertretung des Königreichs Bhutan in Genf habe auch keine mündlichen Gesuche entgegengenommen. Sie sei nicht einmal in das Gebäude eingelassen worden. Diese Behauptungen sind weder belegt noch glaubhaft dargetan, denn die Beschwerdeführerin hat nicht substantiiert geschildert wie sie vorgegangen ist (Telefonnotizen) und keine Zeugen genannt, die ihre Bemühungen hätten bestätigen können. Überdies wäre es der Beschwerdeführerin zuzumuten, mit Hilfe eines bhutanischen Rechtsvertreters direkt in ihrem Heimatland sachdienliche Abklärungen treffen zu lassen und sich auch dort um Ausstellung von Reisepapieren zu bemühen. Der letzte und einzige dokumentierte Versuch der Beschwerdeführerin, einen bhutanischen Reiseausweis zu erhalten, datiert vom Frühjahr 2008. Das BFM führte in diesem Zusammenhang berechtigterweise an, der Beschwerdeführerin sei es möglich, sich erneut an die bhutanische Botschaft in Genf zu wenden.</w:t>
      </w:r>
    </w:p>
    <w:p>
      <w:r>
        <w:rPr>
          <w:b/>
        </w:rPr>
        <w:t>E. 5.3.2</w:t>
      </w:r>
    </w:p>
    <w:p>
      <w:r>
        <w:t>Vor dem Hintergrund der vorstehenden Erwägungen kann nicht davon ausgegangen werden, die Beschwerdeführerin habe die bestehenden Möglichkeiten zum Erhalt eines heimatlichen Reisepasses voll ausgeschöpft (vgl. dazu auch Urteil des Bundesgerichts 2A.335/2006 vom 18. Oktober 2006 E. 2.4). Für die Annahme, die bhutanische Botschaft in Genf weigere sich, ihr den verlangten Reisepass auszustellen, ergeben sich aufgrund der Aktenlage ebenfalls keine rechtsgenüglichen Hinweise. Wie bereits vorstehend erwogen, obliegt es der Beschwerdeführerin, sich bei den heimatlichen Behörden erneut um die Ausstellung eines Reisedokuments zu bemühen. Würde die Schweiz in einer Situation wie der vorliegenden auf breiter Basis von einer Schriftenlosigkeit ausgehen, wäre sie regelmässig gehalten, in die Passhoheit - und damit in die Souveränität eines andern Staates - einzugreifen (vgl. Urteil des Bundesverwaltungsgerichts C-3724/2010 vom 26. April 2011 E. 4.3 mit weiteren Hinweisen).</w:t>
      </w:r>
    </w:p>
    <w:p>
      <w:r>
        <w:rPr>
          <w:b/>
        </w:rPr>
        <w:t>E. 5.3.3</w:t>
      </w:r>
    </w:p>
    <w:p>
      <w:r>
        <w:t>Nach dem Gesagten steht fest, dass in casu nicht davon ausgegangen werden kann, die Beschaffung eines Reisedokumentes sei für die Beschwerdeführerin objektiv unmöglich im Sinne von Art. 10 Abs. 1 Bst. b RDV.</w:t>
      </w:r>
    </w:p>
    <w:p>
      <w:r>
        <w:rPr>
          <w:b/>
        </w:rPr>
        <w:t>E. 5.4</w:t>
      </w:r>
    </w:p>
    <w:p>
      <w:r>
        <w:t>Der Beschwerdeführerin ist somit die Beschaffung eines gültigen heimatlichen Reisedokuments zumutbar; sie ist auch nicht objektiv unmöglich. Sie ist folglich nicht als schriftenlos im Sinne von Art. 10 Abs. 1 RDV zu betrachten. Demzufolge kann - wozu ohnehin vertiefte Abklärungen notwendig wären - in casu offen gelassen werden, ob die Beschwerdeführerin angehalten werden könnte, sich um die nepalesische Staatsangehörigkeit zu bemühen. 6.Die Vorinstanz hat in casu zu Recht die Ausstellung des beantragten schweizerischen Ersatzreisepapiers verweigert. Die angefochtene Verfügung erweist sich somit im Lichte von Art. 49 VwVG als rechtmässig. Dementsprechend ist die Beschwerde abzuweisen. 7.Dem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