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C-2866/2015 vom 2. Mai 2016</w:t>
      </w:r>
    </w:p>
    <w:p>
      <w:r>
        <w:t>Bundesverwaltungsgericht, 2016-05-02, IT</w:t>
      </w:r>
    </w:p>
    <w:p>
      <w:r>
        <w:rPr>
          <w:b/>
        </w:rPr>
        <w:t xml:space="preserve">Quelle: </w:t>
      </w:r>
      <w:r>
        <w:t>https://mcp.opencaselaw.ch/entscheid/bvger_C-2866_2015</w:t>
      </w:r>
    </w:p>
    <w:p>
      <w:r>
        <w:t>FR: TAF C-2866/2015 du 2 mai 2016</w:t>
      </w:r>
    </w:p>
    <w:p>
      <w:r>
        <w:t>IT: TAF C-2866/2015 del 2 maggio 2016</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agli art. 33 e 34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Il Tribunale osserva che A._______ nel suo gravame ha in primo luogo invocato la presunta violazione, da parte dell'autorità inferiore, del diritto di essere sentito (cfr. art. 29 cpv. 2 Cost.).</w:t>
      </w:r>
    </w:p>
    <w:p>
      <w:r>
        <w:rPr>
          <w:b/>
        </w:rPr>
        <w:t>E. 3.1.1</w:t>
      </w:r>
    </w:p>
    <w:p>
      <w:r>
        <w:t>Tra le garanzie procedurali generali previste all'art. 29 Cost. vi è appunto anche il diritto di essere sentito (cfr. art. 29 cpv. 2 Cost.), il quale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Nel quadro della procedura amministrativa il diritto di essere sentito è consacrato dagli art. 26-28 (diritto di esaminare gli atti), dagli art. 29-33 (diritto di essere sentito strictu sensu) e dall'art. 35 PA (diritto di ottenere una decisione motivata).</w:t>
      </w:r>
    </w:p>
    <w:p>
      <w:r>
        <w:rPr>
          <w:b/>
        </w:rPr>
        <w:t>E. 3.1.2</w:t>
      </w:r>
    </w:p>
    <w:p>
      <w:r>
        <w:t>In merito a quest'ultima esigenza la giurisprudenza ha dedotto dal diritto di essere sentito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(cfr. DTF 139 V 496 consid. 5.1; 139 IV 179 consid. 2.2; 138 I 232 consid. 5.1). Si è in presenza di una violazione del diritto di essere sentiti se l'autorità non soddisfa al suo obbligo di esaminare e di trattare i problemi pertinenti. Per adempiere a tali esigenze, è sufficiente che l'autorità menzioni, almeno brevemente, i motivi sui quali ha fondato la sua decisione, in modo da permettere all'interessato di apprezzare la portata di quest'ultima e di impugnarla in piena conoscenza di causa (cfr. DTF 141 II 28 consid. 3.2.4). Eccezionalmente a un'eventuale violazione può essere posto rimedio, fermo restando che una violazione grave di questo principio, pur tenendo conto delle esigenze di economia di procedura, non può essere sanata (cfr. ad es. DTF 138 III 225 consid. 3.3; 137 I 195 consid. 2.2 e 2.3.2; DTAF 2013/46 consid. 6.3.7; 2012/24 consid. 3.4 e riferimenti ivi citati).</w:t>
      </w:r>
    </w:p>
    <w:p>
      <w:r>
        <w:rPr>
          <w:b/>
        </w:rPr>
        <w:t>E. 3.2.1</w:t>
      </w:r>
    </w:p>
    <w:p>
      <w:r>
        <w:t>Il ricorrente contesta innanzitutto le modalità con cui lo scritto datato 5 marzo 2015 della SEM, mediante il quale quest'ultima lo ha informato circa l'intenzione di emanare un divieto d'entrata nei suoi confronti, gli è stato notificato. La SEM ha notificato la citata lettera per il tramite dell'Ambasciata di Svizzera a Belgrado, essendo il ricorrente residente in Serbia. A._______ sostiene che la Rappresentanza elvetica in questione abbia notificato la busta contenente l'invito a prendere posizione ad un suo vicino di casa, il quale gliel'avrebbe consegnata il 1° aprile 2015.</w:t>
      </w:r>
    </w:p>
    <w:p>
      <w:r>
        <w:rPr>
          <w:b/>
        </w:rPr>
        <w:t>E. 3.2.2</w:t>
      </w:r>
    </w:p>
    <w:p>
      <w:r>
        <w:t>Il Tribunale osserva che A._______ non fornisce alcuna prova a sostegno di questa tesi. Agli atti figura invece una copia della lettera del 5 marzo 2015 della SEM controfirmata dal ricorrente e datata 1° aprile 2015 (cfr. atto 7 dell'Incarto Simic, pag. 70). Ne discende che questa censura, siccome non sufficientemente circostanziata, va deserta.</w:t>
      </w:r>
    </w:p>
    <w:p>
      <w:r>
        <w:rPr>
          <w:b/>
        </w:rPr>
        <w:t>E. 3.3.1</w:t>
      </w:r>
    </w:p>
    <w:p>
      <w:r>
        <w:t>A._______ ha altresì lamentato che la SEM non avrebbe preso in conto le sue osservazioni dell'8 aprile 2015 e quelle della moglie del 12 aprile 2015 - entrambe inviate il 13 aprile 2015 - sostenendo che le stesse sarebbero state recapitate all'autorità inferiore solamente in data 15 aprile 2015, ovvero un giorno dopo l'emanazione della decisione impugnata e non rispettando il termine di 20 giorni per prendere posizione fissato dalla SEM medesima.</w:t>
      </w:r>
    </w:p>
    <w:p>
      <w:r>
        <w:rPr>
          <w:b/>
        </w:rPr>
        <w:t>E. 3.3.2</w:t>
      </w:r>
    </w:p>
    <w:p>
      <w:r>
        <w:t>A sostegno di questa tesi il ricorrente ha allegato al ricorso del 4 maggio 2015 il tracciamento dell'invio concernente proprio delle citate osservazioni, dal quale si evincerebbe che la ricezione da parte dell'autorità inferiore sarebbe avvenuta il 15 aprile 2015 (cfr. doc. M allegato all'atto di ricorso). In data 21 maggio 2015 la SEM ha dichiarato di avere ricevuto le osservazioni in parola il 14 aprile 2015 e di averne tenuto conto nella valutazione della fattispecie. Senonché il ricorrente nella sua presa di posizione del 5 giugno 2015 ha duramente contestato la posizione della controparte dichiarando che «non sarà certo un (cennato!) timbro aggiunto dalla stessa autorità di prime cure a confutare il doc. M: accettare una simile tesi, equivarrebbe a misconoscere il sistema track &amp; trash [recte: trace] e permettere a chiunque parte in causa possa utilizzare un proprio timbro per "dimostrare" una data. L'autorità di prime cure non ha dimostrato che il doc. M sia inverosimile. È quindi un dato di fatto che - checché cerchi di affermare il contrario - già di primo acchito la data di notifica delle osservazioni è il 15 aprile 2015. Ne consegue che l'autorità di prime cure NON aveva visto le osservazioni quanto aveva emesso la decisione (non firmata)».</w:t>
      </w:r>
    </w:p>
    <w:p>
      <w:r>
        <w:rPr>
          <w:b/>
        </w:rPr>
        <w:t>E. 3.3.3</w:t>
      </w:r>
    </w:p>
    <w:p>
      <w:r>
        <w:t>Orbene, invitata dal Tribunale a determinarsi al proposito, l'autorità inferiore in data 19 giugno 2015 ha dimostrato che le citate osservazioni le sono state recapitate il 14 aprile 2015, producendo la lista delle raccomandate notificate alla SEM il 14 aprile 2015 e da cui si evince in maniera del tutto cristallina che tra esse figura anche l'invio del ricorrente; l'autorità inferiore ha inoltre rettamente sottolineato come dallo stesso doc. M emerge che il plico raccomandato in questione le è stato recapitato il 14 aprile 2015 (cfr. penultima voce del tracciamento di cui al doc. M), mentre l'ultima riga indicante il giorno successivo si riferisce invece alla ricezione da parte della Posta della conferma di notifica della SEM, la quale in data 14 aprile 2015 appariva ancora come «in sospeso».</w:t>
      </w:r>
    </w:p>
    <w:p>
      <w:r>
        <w:rPr>
          <w:b/>
        </w:rPr>
        <w:t>E. 3.3.4</w:t>
      </w:r>
    </w:p>
    <w:p>
      <w:r>
        <w:t>Quo alla critica di avere apposto il timbro sul documento in questione in modo da «confutare il doc. M» (cfr. osservazioni del ricorrente del 5 giugno 2015, atto 6 dell'incarto TAF, pag. 2), la SEM ha risposto in maniera convincente, argomentando che «il timbro non viene difatti apposto manualmente ma in modo automatico alla ricezione di ogni scritto, di modo che la validità dello stesso non ha motivo di essere oggetto di dubbi» (cfr. osservazioni SEM del 19 giugno 2015, atto 8 dell'incarto TAF, pag. 2).</w:t>
      </w:r>
    </w:p>
    <w:p>
      <w:r>
        <w:rPr>
          <w:b/>
        </w:rPr>
        <w:t>E. 3.3.5</w:t>
      </w:r>
    </w:p>
    <w:p>
      <w:r>
        <w:t>Visto quanto testé indicato, il Tribunale ritiene che anche queste censure formulate dal ricorrente non siano fondate e come tali vadano deserte.</w:t>
      </w:r>
    </w:p>
    <w:p>
      <w:r>
        <w:rPr>
          <w:b/>
        </w:rPr>
        <w:t>E. 3.4.1</w:t>
      </w:r>
    </w:p>
    <w:p>
      <w:r>
        <w:t>Sempre con riferimento al diritto di essere sentito, il ricorrente si è lamentato del fatto che la SEM ha esteso il provvedimento di divieto d'entrata all'insieme degli Stati Schengen, senza avere paventato tale ipotesi nell'invito ad esprimersi del 5 marzo 2015.</w:t>
      </w:r>
    </w:p>
    <w:p>
      <w:r>
        <w:rPr>
          <w:b/>
        </w:rPr>
        <w:t>E. 3.4.2</w:t>
      </w:r>
    </w:p>
    <w:p>
      <w:r>
        <w:t>Questa argomentazione non è in casu decisiva. In primo luogo poiché, come si vedrà nel dettaglio al consid. 7.2, qualora sia pronunciato un divieto d'entrata nei confronti di un cittadino di uno Stato non facente parte dello spazio Schengen, detto divieto è iscritto nel SIS, comportando l'impossibilità di recarsi nei paesi dell'area Schengen.</w:t>
      </w:r>
    </w:p>
    <w:p>
      <w:r>
        <w:rPr>
          <w:b/>
        </w:rPr>
        <w:t>E. 3.4.3</w:t>
      </w:r>
    </w:p>
    <w:p>
      <w:r>
        <w:t>Il Tribunale costata che effettivamente l'autorità inferiore in occasione dell'invito a prendere posizione del 5 marzo 2015 non ha menzionato esplicitamente la possibilità di iscrivere il divieto d'entrata nel SIS, tuttavia questa censura non è conferente, in quanto A._______ non può prevalersi di una non conoscenza dell'ordinamento giuridico ed inoltre egli non poteva non sapere che la Svizzera fa parte dell'area Schengen e che di conseguenza la misura di allontanamento non si sarebbe limitata al territorio elvetico.</w:t>
      </w:r>
    </w:p>
    <w:p>
      <w:r>
        <w:rPr>
          <w:b/>
        </w:rPr>
        <w:t>E. 3.5</w:t>
      </w:r>
    </w:p>
    <w:p>
      <w:r>
        <w:t>Il Tribunale osserva inoltre che il ricorrente durante la presente procedura di ricorso ha avuto modo di esprimersi in maniera completa ed esaustiva in merito alle argomentazioni dell'autorità inferiore.</w:t>
      </w:r>
    </w:p>
    <w:p>
      <w:r>
        <w:rPr>
          <w:b/>
        </w:rPr>
        <w:t>E. 3.6</w:t>
      </w:r>
    </w:p>
    <w:p>
      <w:r>
        <w:t>Per i motivi di poc'anzi esposti le censure sollevate dal ricorrente in merito alla presunta violazione del diritto di essere sentito sono respinte.</w:t>
      </w:r>
    </w:p>
    <w:p>
      <w:r>
        <w:rPr>
          <w:b/>
        </w:rPr>
        <w:t>E. 4.1</w:t>
      </w:r>
    </w:p>
    <w:p>
      <w:r>
        <w:t>Quo invece alla censura di ritardata giustizia sollevata da A._______ in sede di replica, il Tribunale osserva che ai sensi dell'art. 46a PA, può essere interposto ricorso per denegata o ritardata giustizia se l'autorità adita nega o ritarda ingiustamente l'emanazione di una decisione impugnabile, detto ricorso può essere interposto in ogni tempo (art. 50 cpv. 2 PA).</w:t>
      </w:r>
    </w:p>
    <w:p>
      <w:r>
        <w:rPr>
          <w:b/>
        </w:rPr>
        <w:t>E. 4.2</w:t>
      </w:r>
    </w:p>
    <w:p>
      <w:r>
        <w:t>La condizione di ammissibilità di un ricorso per denegata o ritardata giustizia è che sia stata presentata una domanda per l'emanazione di una decisione, che esista un diritto ad una decisione e che non sia già stata emanata (cfr. DTAF 2008/15 consid. 3.2; Moser/Beusch/Kneubühler, Prozessieren vor dem Bundesverwaltungsgericht, 2a ed. 2013, n. marg. 5.20, pag. 295), inoltre il diritto all'emanazione di una decisione presuppone la qualità di parte giusta gli art. 6 e 48 cpv. 1 PA (cfr. DTAF 2008/15 consid. 3.2; Moser/Beusch/Kneubühler, op. cit., n. marg. 5.22, pag. 296).</w:t>
      </w:r>
    </w:p>
    <w:p>
      <w:r>
        <w:rPr>
          <w:b/>
        </w:rPr>
        <w:t>E. 4.3</w:t>
      </w:r>
    </w:p>
    <w:p>
      <w:r>
        <w:t>Secondo la giurisprudenza e la dottrina, vi è ritardata giustizia ai sensi della legge allorquando l'autorità si mostra propensa a pronunciare una decisione, scadendo tuttavia il termine oggettivamente ragionevole secondo la natura della causa per l'evasione della richiesta dell'interessato; la ragionevolezza della durata di una procedura è da giudicare considerando ogni singolo caso nelle sue specifiche circostanze; vi è dunque da prendere in considerazione segnatamente la complessità della causa, la condotta dell'interessato e dell'autorità, la portata della procedura per l'interessato così come la portata nella fattispecie della decisione ritardata (cfr. DTF 130 I 312 consid. 5.2; Markus Müller, in: Auer/Müller/Schindler (ed.), Kommentar zum Bundesgesetz über das Verwaltungsverfahren VwVG, 2008, ad. art. 46a PA, n. marg. 6, pag. 620; Moser/Beusch/Kneubühler, op. cit., n. marg. 5.28, pag. 299).</w:t>
      </w:r>
    </w:p>
    <w:p>
      <w:r>
        <w:rPr>
          <w:b/>
        </w:rPr>
        <w:t>E. 4.4</w:t>
      </w:r>
    </w:p>
    <w:p>
      <w:r>
        <w:t>In casu il Tribunale non ritiene fondata la censura sollevata dal ricorrente, sia per quanto concerne la questione della restituzione dell'effetto sospensivo, essendo stata emanata una decisione debitamente motivata già in data 29 giugno 2015 (cfr. atto 9 dell'incarto TAF), sia per quanto riguarda la decisione nel merito, non essendo il Tribunale stato inattivo, ma al contrario avendo lo stesso reagito ali scritti delle parti e avendo emanato la presente sentenza.</w:t>
      </w:r>
    </w:p>
    <w:p>
      <w:r>
        <w:rPr>
          <w:b/>
        </w:rPr>
        <w:t>E. 5.1</w:t>
      </w:r>
    </w:p>
    <w:p>
      <w:r>
        <w:t>Nel gravame l'interessato si è prevalso anche un'altra eccezione di natura formale, ovvero l'assenza di firma sulla decisione impugnata.</w:t>
      </w:r>
    </w:p>
    <w:p>
      <w:r>
        <w:rPr>
          <w:b/>
        </w:rPr>
        <w:t>E. 5.2</w:t>
      </w:r>
    </w:p>
    <w:p>
      <w:r>
        <w:t>Contrariamente alle allegazioni di A._______, la firma apposta su una decisione non rappresenta un requisito di validità ai sensi del diritto federale (cfr. ad esempio le sentenze del TAF C-1346/2010 del 14 gennaio 2011 consid. 3.2 e C-744/2011 del 23 novembre 2012 consid. 5.2). Infatti essa svolge solamente la funzione di attestato rispettivamente di identificazione del funzionario competente. Nello specifico, le decisione di divieto d'entrata, che sono particolarmente numerose, si differenziano dalle altre decisioni amministrative prese dall'autorità inferiore sia nell'emanazione, sia nella loro trattazione. In particolare essa viene sempre analizzata e quindi emanata da un funzionario responsabile presso la SEM; inoltre viene registrata nel sistema d'informazione centrale sulla migrazione (Simic), dove, sulla base di una registrazione elettronica, viene fatto corrispondere un determinato funzionario responsabile. Quest'ultimo è parimenti indicato nella decisione con una sigla e pertanto sempre identificabile. Occorre però precisare che se lo desidera, il ricorrente può in ogni momento chiedere l'emanazione della decisione con l'apposizione della firma in originale. Il numero del dossier abbinato alla sigla corrisponde, in ottica di identificazione, al facsimile di una firma, la quale ai sensi della giurisprudenza del Tribunale federale può sostituire la firma originale. A fronte di quanto detto, ne discende che la forma della decisione, in particolare con l'assenza di firma in originale, contrariamente a quanto preteso dal ricorrente, è dunque da considerare sufficiente da un punto di vista giuridico.</w:t>
      </w:r>
    </w:p>
    <w:p>
      <w:r>
        <w:rPr>
          <w:b/>
        </w:rPr>
        <w:t>E. 6.1</w:t>
      </w:r>
    </w:p>
    <w:p>
      <w:r>
        <w:t>Ai termini dell'art. 2 cpv. 3 LStr ai cittadini degli Stati membri della Comunità europea e ai loro familiari si applica l'ALC; la LStr si applica solamente qualora l'ALC non contenga disposizioni derogatorie o qualora la LStr non preveda disposizioni più favorevoli.</w:t>
      </w:r>
    </w:p>
    <w:p>
      <w:r>
        <w:rPr>
          <w:b/>
        </w:rPr>
        <w:t>E. 6.2</w:t>
      </w:r>
    </w:p>
    <w:p>
      <w:r>
        <w:t>Giusta l'art. 3 par. 1 e 2 dell'allegato I all'ALC i membri della famiglia di un cittadino di una parte contraente avente un diritto di soggiorno hanno diritto di stabilirsi con esso. Sono considerati membri della famiglia, qualunque sia la loro cittadinanza, il coniuge e i loro discendenti minori di 21 anni o a carico. Inoltre ai sensi dell'art. 1 par. 1 dell'allegato I all'ALC (in relazione con l'art. 3 ALC) i cittadini comunitari ed i membri della loro famiglia sono ammessi nel territorio degli Stati membri dietro semplice presentazione di una carta d'identità o di un passaporto validi.</w:t>
      </w:r>
    </w:p>
    <w:p>
      <w:r>
        <w:rPr>
          <w:b/>
        </w:rPr>
        <w:t>E. 6.3</w:t>
      </w:r>
    </w:p>
    <w:p>
      <w:r>
        <w:t>Nel caso concreto, A._______ potrebbe in principio prevalersi di un diritto derivato ai sensi dell'ALC, essendo sua moglie cittadina elvetica e italiana. Nondimeno, è opinione dello scrivente Tribunale che la questione dell'eventuale diritto derivato del ricorrente può rimanere aperta, in quanto dagli atti all'inserto non è possibile stabilire se ed in che misura il diritto originario di B._______ sia esercitato, avendo la stessa unicamente dichiarato di volere trasferirsi in Italia con il figlio e il ricorrente, non figurando agli atti ulteriori informazioni al proposito.</w:t>
      </w:r>
    </w:p>
    <w:p>
      <w:r>
        <w:rPr>
          <w:b/>
        </w:rPr>
        <w:t>E. 7.1</w:t>
      </w:r>
    </w:p>
    <w:p>
      <w:r>
        <w:t>Conformemente all'art. 67 cpv. 1 LStr (RS 142.20),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7.2</w:t>
      </w:r>
    </w:p>
    <w:p>
      <w:r>
        <w:t>Qualora una decisione di divieto d'entrata sia stata pronunciata giusta l'art. 67 LStr, come nel caso che qui ci occupa, nei confronti di un cittadino di un paese terzo ai sensi dell'art. 3 lett. d del regolamento (CE) n° 1987/2006 del Parlamento europeo e del Consiglio del 20 dicembre 2006 sull'istituzione, l'esercizio e l'uso del sistema di informazione Schengen di seconda generazione (SIS II, GU L 381/4 del 28 dicembre 2006 pagg. 4 a 23), entrato in vigore il 9 aprile 2013 e abrogante (cfr. decisione del Consiglio 2013/158/EU del 7 marzo 2013, GU L 87 pagg. 10 e 11 in relazione con l'art. 52 par. 1 regolamento SIS II) in particolare 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 a 62), questa persona - conformemente da una parte al regolamento SIS II sopracitato e, dall'altra, l'art. 16 cpv. 2 e 4 della legge federale sui sistemi d'informazione di polizia della Confederazione del 13 giugno 2008 (LSIP, RS 361) - è di principio iscritta nel SIS ai fini di non ammissione qualora un'autorità amministrativa o giudiziaria abbia emanato nei suoi confronti una decisione in quanto la sua presenza sul territorio di uno Stato membro può costituire una minaccia per l'ordine o la sicurezza pubblici, ciò è ad esempio il caso - come nella fattispecie - quando essa è stata condannata in uno Stato membro per un'infrazione punibile con una pena privativa della libertà superiore ad un anno (cfr. art. 24 par. 2 lett. a regolamento SIS II).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(art. 25 par. 1 CAS; e art. 13 cpv. 1 in relazione con l'art. 5 cpv. 4 lett. c codice frontiere Schengen), rispettivamente concedere sulla scorta di tali motivi un visto a validità territoriale limitata (art. 25 par. 1 lett. a [ii] del regolamento [CE] n° 810/2009 del Parlamento europeo e del Consiglio del 13 luglio 2009 che istituisce un codice comunitario dei visti [Codice dei visti, GU L 23 del 15 settembre 2009]).</w:t>
      </w:r>
    </w:p>
    <w:p>
      <w:r>
        <w:rPr>
          <w:b/>
        </w:rPr>
        <w:t>E. 7.3</w:t>
      </w:r>
    </w:p>
    <w:p>
      <w:r>
        <w:t>In merito alle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7.4</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3a ed. 2012, ad art. 67 LStr, n. marg. 3, pag. 195).</w:t>
      </w:r>
    </w:p>
    <w:p>
      <w:r>
        <w:rPr>
          <w:b/>
        </w:rPr>
        <w:t>E. 7.5</w:t>
      </w:r>
    </w:p>
    <w:p>
      <w:r>
        <w:t>In virtù del messaggio LStr precitato (FF 2002 3327, pag. 3428) l'emanazione di un divieto d'entrata non deve essere interpretato quale sanzione dal carattere penale, bensì quale misura di protezione a carattere preventivo contro possibili turbative future dell'ordine e della sicurezza pubblici in Svizzera (o nello spazio Schengen). L'autorità competente esamina secondo il proprio libero apprezzamento se un divieto d'entrata deve essere pronunciato.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w:t>
      </w:r>
    </w:p>
    <w:p>
      <w:r>
        <w:rPr>
          <w:b/>
        </w:rPr>
        <w:t>E. 8.1</w:t>
      </w:r>
    </w:p>
    <w:p>
      <w:r>
        <w:t>Nella fattispecie in disanima, la SEM ha pronunciato nei confronti di A._______ un divieto d'entrata della durata di sette anni, ossia fino al 13 aprile 2022, ritenendo che «l'interessato - parecchie volte ammonito e condannato in Svizzera, dal maggio 1995, a delle multe e pene privative di libertà, segnatamente per ripetute infrazioni e contravvenzioni alle Leggi federali sugli stupefacenti e sul trasporto pubblico, violazione alla LCStr e infrazione alla Legge federale sulle armi e munizioni - è stato condannato, l'ultima volta, il 6 marzo 2012 dalla Corte delle assise correzionali, Lugano, alla pena di 12 mesi di detenzione, per infrazione aggravata e contravvenzione alla Legge federale sugli stupefacenti». In particolare quest'ultima condanna è stata pronunciata in quanto il ricorrente è stato riconosciuto colpevole di infrazione aggravata e contravvenzione alla LStup per avere partecipato alla compravendita di 142/145 grammi di eroina e consumato 280 grammi della stessa sostanza (cfr. sentenza della Corte delle assise correzionali di Lugano del 6 marzo 2012, incarto Simic, pagg. 17 a 21).</w:t>
      </w:r>
    </w:p>
    <w:p>
      <w:r>
        <w:rPr>
          <w:b/>
        </w:rPr>
        <w:t>E. 8.2</w:t>
      </w:r>
    </w:p>
    <w:p>
      <w:r>
        <w:t>Ne discende che questi comportamenti, sanzionati da specifiche norme del diritto penale, possono portare all'emissione di un divieto d'entrata poiché costituendo indubbiamente una violazione e mettendo in pericolo l'ordine e la sicurezza pubblici, adempiono ai requisiti dell'art. 67 cpv. 2 lett. a LStr.</w:t>
      </w:r>
    </w:p>
    <w:p>
      <w:r>
        <w:rPr>
          <w:b/>
        </w:rPr>
        <w:t>E. 9.1</w:t>
      </w:r>
    </w:p>
    <w:p>
      <w:r>
        <w:t>Come testé rilevato il divieto d'entrata in Svizzera è di regola pronunciato per una durata massima di cinque anni. Giusta l'art. 67 cpv. 2 lett. a LStr è possibile emanare un divieto d'entrata della durata massima citata, nei confronti di un cittadino non proveniente da un paese firmatario dell'ALC, qualora quest'ultimo ha violato o esposto a pericolo l'ordine e la sicurezza pubblici in Svizzera o all'estero. Ne discende che per le autorità elvetiche la pronuncia di un divieto d'entrata nei confronti di una persona non soggetta all'ALC per una durata massima di cinque anni sarà sottoposta al solo diritto interno elvetico, ed in particolare alla LStr, contrariamente a quanto accade per i cittadini al beneficio dell'ALC, che pone esigenze più severe per una tale misura.</w:t>
      </w:r>
    </w:p>
    <w:p>
      <w:r>
        <w:rPr>
          <w:b/>
        </w:rPr>
        <w:t>E. 9.2</w:t>
      </w:r>
    </w:p>
    <w:p>
      <w:r>
        <w:t>Un divieto d'entrata di una durata maggiore di cinque anni ai sensi dell'art. 67 cpv. 3 2a frase LStr, può essere deciso a condizione che la persona interessata costituisca una minaccia grave per la sicurezza e l'ordine pubblici. Questo sistema riprende l'art. 11 cpv. 2 della direttiva 2008/115/CE del Parlamento e del Consiglio europei del 16 dicembre 2008 relativa alle norme e procedure comuni applicabili agli Stati membri al rimpatrio di cittadini di paesi terzi il cui soggiorno è irregolare (cfr. GU L 348/98 del 24 dicembre 2008; Messaggio concernente l'approvazione e la trasposizione dello scambio di note tra la Svizzera e la CE relativo al recepimento della direttiva della CE sul rimpatrio [Direttiva 2008/115/CE] [Sviluppo dell'acquis di Schengen] e concernente una modifica della LStr [Controllo di confine automatizzato, consulenti in materia di documenti, sistema d'informazione MIDES], FF 2009 7737, pag. 7751). Secondo la citata norma di diritto europeo, il divieto d'entrata può essere adottato per una durata superiore a cinque anni qualora il cittadino di un paese terzo rappresenta una minaccia grave per l'ordine pubblico, la sicurezza pubblica o la sicurezza nazionale. Come detto questa regola ha ispirato l'art. 67 cpv. 3 2a frase LStr, che non fa alcuna distinzione tra cittadini ALC o di paesi terzi. Inoltre, il fatto che lo stesso ALC non fornisca indicazioni in merito ai divieti d'entrata, né a proposito della loro durata, significa che il legislatore federale ha deciso di non fare alcuna distinzione tra comunitari e non in materia di divieti d'entrata di durata superiore a cinque anni (DTF 139 II 121 consid 6.2).</w:t>
      </w:r>
    </w:p>
    <w:p>
      <w:r>
        <w:rPr>
          <w:b/>
        </w:rPr>
        <w:t>E. 9.3</w:t>
      </w:r>
    </w:p>
    <w:p>
      <w:r>
        <w:t>Occorre dunque determinare le condizioni affinché sia possibile pronunciare un divieto d'entrata di durata superiore a cinque anni. In altre parole si tratta di fissare i criteri per riconoscere un «grave pericolo per l'ordine e la sicurezza pubblici» ai sensi dell'art. 67 cpv. 3 2a frase LStr, nozione che va oltre il concetto di «minaccia di una certa gravità» necessaria per poter emettere un divieto d'entrata anche nei confronti di un cittadino di uno Stato parte all'ALC (art. 5 allegato I ALC). Il concetto di «minaccia grave» ai sensi della LStr deve essere applicato eccezionalmente e presuppone un'analisi approfondita e la presa in considerazione di tutti gli elementi pertinenti di ogni fattispecie (Marc Spescha et al., op. cit., ad art. 67 LStr, n. marg. 5, pag. 196; Andrea Binder Oser, in Caroni/Gächter/Thurnherr, Bundesgesetz über die Ausländerinnen und Ausländer [AuG], 2010, ad art. 67 LStr, n. marg. 24, pag. 689).</w:t>
      </w:r>
    </w:p>
    <w:p>
      <w:r>
        <w:rPr>
          <w:b/>
        </w:rPr>
        <w:t>E. 9.4</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10.1</w:t>
      </w:r>
    </w:p>
    <w:p>
      <w:r>
        <w:t>Dato che l'autorità inferiore ha pronunciato un divieto d'entrata di durata superiore a 5 anni, va qui di seguito esaminato, prima di procedere ad una ponderazione degli interessi in gioco, se è soddisfatto il criterio della minaccia grave giusta l'art. 67 cpv. 3 2a frase LStr.</w:t>
      </w:r>
    </w:p>
    <w:p>
      <w:r>
        <w:rPr>
          <w:b/>
        </w:rPr>
        <w:t>E. 10.2</w:t>
      </w:r>
    </w:p>
    <w:p>
      <w:r>
        <w:t>Visti i comportamenti di cui al consid. 8.1 supra, ed in particolare vista la condanna del 6 marzo 2012 per infrazione aggravata e contravvenzione alla LStup - per avere partecipato alla compravendita di 142/145 grammi di eroina e consumato 280 grammi della stessa sostanza - la SEM ha considerato che «vista la gravità della violazione e l'esposizione a pericolo dell'ordine e della sicurezza pubblici che ne consegue, la disposizione di una misura di respingimento ai sensi dell'art. 67 LStr è giustificata. Nel caso specifico, è incontestabile che il comportamento dell'interessato urta palesemente l'interesse pubblico. In particolare, le sostanze stupefacenti toccano un fondamentale interesse pubblico, e le autorità devono intervenire con misure adeguate. Per quanto concerne la gravità e il ripetersi delle infrazioni commesse dall'interessato dai 18 anni, e considerato il fatto che gli ultimi reati commessi - più gravi - non sono lontani nel tempo, che la presenza in Svizzera della sua famiglia non l'ha dissuaso dal delinquere, occorre considerare che il suo comportamento rappresenti una minaccia reale ed attuale di gravità tale da incidere sull'ordine, la sicurezza pubblici e la sanità pubblica della Svizzera». L'autorità inferiore ha dunque ritenuto che il rischio di recidiva non possa essere escluso.</w:t>
      </w:r>
    </w:p>
    <w:p>
      <w:r>
        <w:rPr>
          <w:b/>
        </w:rPr>
        <w:t>E. 10.3</w:t>
      </w:r>
    </w:p>
    <w:p>
      <w:r>
        <w:t>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DTF 139 II 121 consid. 5.3; sentenza del TF 2C_121/2014 del 17 luglio 2014 consid. 3.2). Le infrazioni alla LStup, in particolare il traffico di droga, costituiscono in generale una violazione molto grave alla sicurezza e all'ordine pubblico (cfr. sentenza del TF 2C_139/2013 dell'11 giugno 2013 consid. 6.2.3 e riferimenti ivi citati). Come precedentemente ricordato A._______ ha partecipato alla compravendita di 142/145 grammi di eroina e consumato 280 grammi della stessa sostanza - (cfr. consid. 8.1 supra e sentenza della Corte delle assise correzionali di Lugano del 6 marzo 2012, incarto Simic, pagg. 17 a 21).</w:t>
      </w:r>
    </w:p>
    <w:p>
      <w:r>
        <w:rPr>
          <w:b/>
        </w:rPr>
        <w:t>E. 10.4</w:t>
      </w:r>
    </w:p>
    <w:p>
      <w:r>
        <w:t>Inoltre, occorre tenere in considerazione il fatto che sull'arco di più anni, a partire dal 1995, il ricorrente ha ripetutamente delitto, contravvenendo, oltre alla LStup, anche alla LArm, alla LCStr e alle allora in vigore LTP e LDDS (cfr. per i dettagli lett. A supra). A._______ ha altresì commesso reati durante i periodi di prova concessi dalle autorità penali.</w:t>
      </w:r>
    </w:p>
    <w:p>
      <w:r>
        <w:rPr>
          <w:b/>
        </w:rPr>
        <w:t>E. 10.5</w:t>
      </w:r>
    </w:p>
    <w:p>
      <w:r>
        <w:t>In definitiva, a mente di questo Tribunale, la condotta dell'interessato costituisce un grave pericolo per l'ordine e la sicurezza pubblici, ragione per cui è giustificata l'emanazione di un divieto d'entrata conformemente all'art. 67 cpv. 2 lett. a LStr per una durata superiore a cinque anni giusta l'art. 67 cpv. 3 2a frase LStr.</w:t>
      </w:r>
    </w:p>
    <w:p>
      <w:r>
        <w:rPr>
          <w:b/>
        </w:rPr>
        <w:t>E. 11.1</w:t>
      </w:r>
    </w:p>
    <w:p>
      <w:r>
        <w:t>A fronte di quanto esposto resta ora da stabilire se la durata della misura di allontanamento adottata sia conforme al principio di proporzionalità e, procedendo ad un apprezzamento degli interessi privati e pubblici in gioco, valutare se sia adeguata alle circostanze del caso di specie.</w:t>
      </w:r>
    </w:p>
    <w:p>
      <w:r>
        <w:rPr>
          <w:b/>
        </w:rPr>
        <w:t>E. 11.2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11.3</w:t>
      </w:r>
    </w:p>
    <w:p>
      <w:r>
        <w:t>Quo all'interesse pubblico all'allontanamento del ricorrente dal territorio elvetico, si è già detto ai considerandi precedenti.</w:t>
      </w:r>
    </w:p>
    <w:p>
      <w:r>
        <w:rPr>
          <w:b/>
        </w:rPr>
        <w:t>E. 11.4</w:t>
      </w:r>
    </w:p>
    <w:p>
      <w:r>
        <w:t>In merito agli interessi privati, il ricorrente si è richiamato principalmente all'art. 8 CEDU, il quale garantisce il diritto al rispetto della vita privata e familiare, sottolineando che la decisione dell'autorità inferiore comporterebbe l'impossibilità di sviluppare il rapporto stretto e duraturo con la moglie ed il figlio di quest'ultima in Italia.</w:t>
      </w:r>
    </w:p>
    <w:p>
      <w:r>
        <w:rPr>
          <w:b/>
        </w:rPr>
        <w:t>E. 11.5</w:t>
      </w:r>
    </w:p>
    <w:p>
      <w:r>
        <w:t>Come detto, l'art. 8 CEDU tutela la vita privata e familiare delle persone. Questa disposizione non garantisce tuttavia il diritto ad entrare in un determinato Stato (cfr. in questo senso segnatamente DTF 140 I 145 consid. 3.1; 139 I 330 consid. 2.1 e riferimenti ivi citati). Quanto all'art. 13 cpv. 1 Cost., che garantisce il diritto alla vita privata e familiare, la protezione accordata corrisponde sostanzialmente a quella dell'art. 8 CEDU (cfr. DTF 136 I 178 consid. 5.2).</w:t>
      </w:r>
    </w:p>
    <w:p>
      <w:r>
        <w:rPr>
          <w:b/>
        </w:rPr>
        <w:t>E. 11.6</w:t>
      </w:r>
    </w:p>
    <w:p>
      <w:r>
        <w:t>Affinché uno straniero possa prevalersi di tale disposizione, deve intrattenere una relazione stretta, effettiva ed intatta con una persona della sua famiglia a beneficio di un diritto di presenza duraturo in Svizzera. Questo diritto non ha però valenza assoluta, poiché ai sensi dell'art. 8 cpv. 2 CEDU un'ingerenza delle autorità rimane possibile (cfr. DTF 140 I 77 consid. 5.2; 137 I 113 consid. 6.1).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protection de la vie familiale et de la vie privée en droit des étrangers, 2000, pagg. 293 e 321).</w:t>
      </w:r>
    </w:p>
    <w:p>
      <w:r>
        <w:rPr>
          <w:b/>
        </w:rPr>
        <w:t>E. 11.7</w:t>
      </w:r>
    </w:p>
    <w:p>
      <w:r>
        <w:t>La protezione del diritto al rispetto della vita privata e familiare conferita dalla norma convenzionale in oggetto non è assoluta. Infatti, conformemente all'art. 8 cpv. 2 CEDU, può esservi ingerenza della pubblica autorità nell'esercizio di tale diritto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11.8</w:t>
      </w:r>
    </w:p>
    <w:p>
      <w:r>
        <w:t>L'interessato si è prevalso del rapporto con la moglie, con la quale, unitamente al figlio di quest'ultima, vorrebbe stabilirsi in Italia. Al proposito il Tribunale costata come dall'istruttoria non sia emerso un legame affettivo particolarmente stretto, fatta eccezione per le allegazioni del ricorrente e della stessa moglie, considerato come il ricorrente viva in Serbia e la moglie si trovi in Svizzera.</w:t>
      </w:r>
    </w:p>
    <w:p>
      <w:r>
        <w:rPr>
          <w:b/>
        </w:rPr>
        <w:t>E. 11.9</w:t>
      </w:r>
    </w:p>
    <w:p>
      <w:r>
        <w:t>In conclusione, da quanto precede la decisione impugnata non viola l'art. 8 CEDU e il ricorrente non può fondare alcun diritto sulla base di tale disposizione.</w:t>
      </w:r>
    </w:p>
    <w:p>
      <w:r>
        <w:rPr>
          <w:b/>
        </w:rPr>
        <w:t>E. 11.10</w:t>
      </w:r>
    </w:p>
    <w:p>
      <w:r>
        <w:t>Nondimeno, alla luce dell'insieme delle circostanze del caso di specie, ed in particolare del fatto che A._______ sembra essersi effettivamente astenuto dal commettere nuovi atti delittuosi in Svizzera successivamente ai fatti di cui alla condanna del 6 marzo 2012 - ciò che è bene sottolineare, costituisce un presupposto indispensabile ai fini di una normale convivenza all'interno della società - il Tribunale ritiene che la durata del divieto d'entrata comminato dall'autorità inferiore debba essere ridotta a 5 anni, di conseguenza i suoi effetti devono essere limitati al 13 aprile 2020.</w:t>
      </w:r>
    </w:p>
    <w:p>
      <w:r>
        <w:rPr>
          <w:b/>
        </w:rPr>
        <w:t>E. 11.11</w:t>
      </w:r>
    </w:p>
    <w:p>
      <w:r>
        <w:t>Come si è visto A._______ ha dichiarato che l'iscrizione del divieto d'entrata nel SIS gli impedirebbe di poter realizzare il proprio desiderio di istallarsi nella regione di origine della moglie in Italia. Detta censura non permette al Tribunale di giungere ad altra conclusione che l'interesse pubblico all'allontanamento dell'interessato dal territorio della Confederazione e dall'aera Schengen prevalga su quello privato a potervi entrare, fermo restando che, come precedentemente rilevato al consid. 7.2, il ricorrente ha la facoltà di chiedere alla competenti autorità italiane il rilascio di un titolo di soggiorno in Italia indipendentemente dall'iscrizione nel SIS del suo divieto d'entrata. L'iscrizione dell'interessato nel SIS è, a mente dello scrivente Tribunale, giustificata e proporzionale, visti i fatti ritenuti (cfr. art. 21 e art. 24 par. 2 regolamento SIS II). Nell'ambito dell'implementazione della legislazione Schengen la Svizzera è in effetti chiamata a preservare gli interessi di tutti gli Stati membri (cfr. DTAF 2011/48 consid. 6.1). Fermo restando che ciò, come precedentemente rilevato, non impedisce agli altri Stati parte agli accordi di Schengen di autorizzare l'entrata dell'interessato sul loro territorio per motivi seri, o di emanare nei suoi confronti un visto a validità territoriale limitata (cfr. consid. 7.2 supra).</w:t>
      </w:r>
    </w:p>
    <w:p>
      <w:r>
        <w:rPr>
          <w:b/>
        </w:rPr>
        <w:t>E. 12</w:t>
      </w:r>
    </w:p>
    <w:p>
      <w:r>
        <w:t>Da quanto esposto, discende che il ricorso deve essere parzialmente accolto, le spese giudiziarie e le ripetibili seguono la soccombenza, considerato tuttavia come ai sensi dell'art. 63 cpv. 2 PA nessuna spesa processuale è messa a carico dell'autorità inferiore.</w:t>
      </w:r>
    </w:p>
    <w:p>
      <w:r>
        <w:rPr>
          <w:b/>
        </w:rPr>
        <w:t>E. 13</w:t>
      </w:r>
    </w:p>
    <w:p>
      <w:r>
        <w:t>Ritenuto che l'insorgente è rappresentato in questa sede da un avvocato, si giustifica l'attribuzione di un'indennità a titolo di spese ripetibili (art. 64 PA in combinato disposto con gli art. 7 e segg. del regolamento sulle tasse e sulle spese ripetibili nelle cause dinanzi al Tribunale amministrativo federale del 21 febbraio 2008 [TS-TAF, RS 173.320.2]). La stessa, in assenza di una nota dettagliata, è fissata d'ufficio in fr. 600.- (disborsi e indennità supplementare in rapporto all'IVA compresi; art. 7-14 TS-TAF), tenuto conto del lavoro effettivo svolto dal patrocinatore del ricorrente. L'indennità per ripetibili è posta a carico della SEM.</w:t>
      </w:r>
    </w:p>
    <w:p>
      <w:r>
        <w:rPr>
          <w:b/>
        </w:rPr>
        <w:t>E. 14</w:t>
      </w:r>
    </w:p>
    <w:p>
      <w:r>
        <w:t>Non essendo impugnabile con ricorso in materia di diritto pubblico dinanzi al Tribunale federale, la presente pronuncia è quindi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