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C-2865/2009 vom 10. Februar 2011</w:t>
      </w:r>
    </w:p>
    <w:p>
      <w:r>
        <w:t>Bundesverwaltungsgericht, 2011-02-10, DE</w:t>
      </w:r>
    </w:p>
    <w:p>
      <w:r>
        <w:rPr>
          <w:b/>
        </w:rPr>
        <w:t xml:space="preserve">Quelle: </w:t>
      </w:r>
      <w:r>
        <w:t>https://mcp.opencaselaw.ch/entscheid/bvger_C-2865_2009</w:t>
      </w:r>
    </w:p>
    <w:p>
      <w:r>
        <w:t>FR: TAF C-2865/2009 du 10 février 2011</w:t>
      </w:r>
    </w:p>
    <w:p>
      <w:r>
        <w:t>IT: TAF C-2865/2009 del 10 febbraio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1.5</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Verfügung vom 22. Juni 2009 wurde der Beschwerdeführer auf­ge­fordert, in der Schweiz ein Zustelldomizil zu bezeichnen. Der Be­schwer­deführer hat dies - obwohl er gemäss Zustellbescheinigung der Botschaft von der Aufforderung Kenntnis hatte - unterlassen. Demzufolge ist das Urteil - im Dispositiv - durch Publikation im Bundesblatt zu er­öffnen (Art. 36 lit. b VwVG; vgl. auch Alfred Kölz/Isabelle Häner, Verwal­tungs­verfahren und Verwaltungsrechtspflege des Bundes, 2. Aufl., Zürich 1998, S. 127).</w:t>
      </w:r>
    </w:p>
    <w:p>
      <w:r>
        <w:rPr>
          <w:b/>
        </w:rPr>
        <w:t>E. 2.1</w:t>
      </w:r>
    </w:p>
    <w:p>
      <w:r>
        <w:t>Der Beschwerdeführer ist Staatsangehöriger von Serbien und lebt dort.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In zeitlicher Hinsicht sind grundsätzlich diejenigen materiellen Rechtssätze massgebend, die bei der Erfüllung des zu Rechtsfolgen führenden Tatbe­standes Geltung hatten (BGE 130 V 445, 127 V 467 E. 1, 126 V 136 E. 4b). Die Frage, ob die SAK die Berechnung der Al­tersrente des Beschwerdeführers korrekt durchgeführt hat, beurteilt sich somit grund­sätzlich nach den im August 2008 (Eintritt des Ver­sicherungsfalles) gülti­gen Bestim­mungen des AHVG und der Verord­nung über die Alters- und Hinterlas­senenversicherung vom 31. Okto­ber 1947 (AHVV, SR 831.101). Für die Beurteilung eines Gesuchs auf Rückvergütung von Beiträgen sind dagegen die im Zeitpunkt des Gesuchs massgebenden gesetzlichen Bestimmungen anwendbar (vgl. BGE 136 V 24 E. 4.4). Vorliegend sind somit für die Beurteilung beider Fragen die gesetzlichen Bestimmungen in der seit 1. Januar 2008 geltenden Fassung mass­gebend.</w:t>
      </w:r>
    </w:p>
    <w:p>
      <w:r>
        <w:rPr>
          <w:b/>
        </w:rPr>
        <w:t>E. 3</w:t>
      </w:r>
    </w:p>
    <w:p>
      <w:r>
        <w:t>Nachfolgend ist zu prüfen, ob die SAK die Rente des Beschwerdeführers richtig berechnet und zu Recht die Ausrichtung einer einmaligen Ab­findung verweigert und die Einsprache abgewiesen hat.</w:t>
      </w:r>
    </w:p>
    <w:p>
      <w:r>
        <w:rPr>
          <w:b/>
        </w:rPr>
        <w:t>E. 3.1.1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3.1.2</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Für Jahre, in denen sein Ehegatte nicht in der Schweize­rischen Alters- und Hinterlassenenversicherung versichert war, wird dem versicherten Elternteil die ganze Erziehungsgutschrift angererechnet (Art. 52f Abs. 4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des Rentenanspruches (Art. 29sexies Abs. 2 AHVG).</w:t>
      </w:r>
    </w:p>
    <w:p>
      <w:r>
        <w:rPr>
          <w:b/>
        </w:rPr>
        <w:t>E. 3.1.3</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Beitragslücken, die nach den Art. 52b bis 52d AHVV auf­gefüllt werden können, gelten dabei als Versicherungszeiten. Die An­rechnung fehlender Beitragsjahre nach Art. 52b erfolgt auf Grund der Beitrags­jahre im Zeitpunkt der Scheidung oder des Eintretens des zweiten Ver­siche­rungsfalles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w:t>
      </w:r>
    </w:p>
    <w:p>
      <w:r>
        <w:rPr>
          <w:b/>
        </w:rPr>
        <w:t>E. 3.1.4</w:t>
      </w:r>
    </w:p>
    <w:p>
      <w:r>
        <w:t>Gemäss Art. 40 Abs. 2 AHVG in Verbindung mit Art. 56 Abs. 2 AHVV sind vorbezogene Renten um 6,8% pro Vorbezugsjahr zu kürzen.</w:t>
      </w:r>
    </w:p>
    <w:p>
      <w:r>
        <w:rPr>
          <w:b/>
        </w:rPr>
        <w:t>E. 3.1.5</w:t>
      </w:r>
    </w:p>
    <w:p>
      <w:r>
        <w:t>Gemäss Art. 30 des Bundesgesetzes vom 19. Juni 1959 über die In­validenversicherung (IVG, SR 831.20) erlischt der Anspruch auf eine Invalidenrente mit der Entstehung des Anspruchs auf eine Alters­rente der schweizerischen Alters- und Hinterlassenenversicherung oder mit dem Tod des Berechtigten. Art. 33bis Abs. 1 AHVG schreibt vor, dass für die Berechnung von Alters- und Hinterlassenenrenten, die an die Stelle einer Rente ge­mäss IVG treten, auf die für die Berechnung der Invalidenrente mass­gebenden Grundlagen abzustellen ist, falls dies für die Berechtigten vorteilhafter ist.</w:t>
      </w:r>
    </w:p>
    <w:p>
      <w:r>
        <w:rPr>
          <w:b/>
        </w:rPr>
        <w:t>E. 3.1.6</w:t>
      </w:r>
    </w:p>
    <w:p>
      <w:r>
        <w:t>Gemäss Art. 7 lit. a des Abkommens Jugoslawien wird ei­nem Staats­angehörigen der Sozialistischen Föderativen Republik Jugosla­wien, der sich nicht in der Schweiz aufhält und Anspruch auf eine or­dentliche Teilrente hat, die höchstens ein Zehntel der entsprechen­den ordentlichen Vollrente beträgt, an Stelle der Teilrente eine Abfin­dung in der Höhe des Barwerts der geschuldeten Rente gewährt. Be­trägt die ordentliche Teilrente mehr als ein Zehntel, aber höchstens ein Fünftel der entsprechenden ordentlichen Vollrente, so kann dieser Staatsan­gehörige, sofern er sich nicht in der Schweiz aufhält oder die­se end­gültig verlässt, zwischen der Ausrichtung der Rente oder einer Abfin­dung wählen.</w:t>
      </w:r>
    </w:p>
    <w:p>
      <w:r>
        <w:rPr>
          <w:b/>
        </w:rPr>
        <w:t>E. 3.2.1</w:t>
      </w:r>
    </w:p>
    <w:p>
      <w:r>
        <w:t>Vorliegend hat der Beschwerdeführer eine bis zum 31. Dezember 2003 befristete Invalidenrente bezogen. Ein weiteres Leistungsbegehren wurde mit Verfügung vom 4. März 2008 abgewiesen. Die Altersrente des Beschwerdeführers, auf welche er bei einem zweijährigen Vorbezug mit Wirkung ab 1. August 2008 Anspruch hat, löst somit die frühere In­va­lidenrente nicht im Sinn des Art. 33bis Abs. 1 AHVG unmittelbar ab, wes­halb die Altersrente - entgegen der Ansicht des Beschwerdeführers - auf­grund einer eigenständigen Berechnung zu ermitteln ist und sich nicht nach der Invalidenrente zu richten hat.</w:t>
      </w:r>
    </w:p>
    <w:p>
      <w:r>
        <w:rPr>
          <w:b/>
        </w:rPr>
        <w:t>E. 3.2.2</w:t>
      </w:r>
    </w:p>
    <w:p>
      <w:r>
        <w:t>Dem Beschwerdeführer ist gemäss der von der SAK ermittelten und unbestritten gebliebenen Zusammenstellung der Beitragszeiten eine Beitragsdauer von 9 Jahren und 8 Monaten anzurechnen. Die Ver­siche­rungsjahre des Jahrgangs des Beschwerde­führers (1945) liegen im Zeitpunkt des Rentenfalls bei 42 Beitragsjah­ren (vgl. Renten­ta­bellen 2007, S. 7). Somit kommt vorliegend bei einem Vorbezug von zwei Jah­ren die Ren­tenskala 9 zur Anwendung (vgl. Rententabellen 2007, S. 13). Beim An­spruch auf eine Rente gestützt auf die Rentenskala 9 beträgt die Teil­rente 20,45% der Vollrente (Art. 52 Abs. 1 AHVV), weshalb dem Beschwerdeführer zu Recht weder eine einmalige Abfindung noch das Wahlrecht zwischen Rente und Abfindung, sondern ei­ne Rente zuge­sprochen worden ist.</w:t>
      </w:r>
    </w:p>
    <w:p>
      <w:r>
        <w:rPr>
          <w:b/>
        </w:rPr>
        <w:t>E. 3.2.3</w:t>
      </w:r>
    </w:p>
    <w:p>
      <w:r>
        <w:t>Wie bereits erwähnt, sind dem Beschwerdeführer 9 Jahre und 8 Monate Beitragsdauer anzurechnen und die Rentenskala 9 ist anzu­wenden. Zu Gunsten des Beschwerdeführers sind in den individuellen Konten in den Jahren 1971 bis 1973 und 1975 bis 1984 Einkommen in der Höhe von insgesamt Fr. 171'591.-- eingetragen. Die diesbezügliche Feststellung der SAK ist nicht zu beanstanden. Der Beschwerdeführer bestreitet dies daher zu Recht nicht. Die Einkommen der Jahre, während derer der Beschwerdeführer mit seiner Ehegattin verheiratet war und zugleich beide Ehegatten der AHV unterstanden, werden geteilt. Somit werden die Einkommen der Jahre 1971 bis 1973, 1975 bis 1976 und 1978 bis 1984 gesplittet. Daraus ergibt sich schliesslich für den Beschwerdeführer ein gesplittetes Einkommen in der Höhe von Fr. 153'602.--. Hinzu kommt das Einkommen von Fr. 13'381.-- aus dem Jahr 1977, welches nicht zu splitten war. Insgesamt beläuft sich somit das dem Beschwerdeführer an­zurechnende Einkommen auf Fr. 166'983.-- (Fr. 153'602.-- + Fr. 13'381.-). Dieses Gesamteinkommen ist zwecks Aus­gleichung der Inflation ent­sprechend dem Rentenindex gemäss Art. 33ter AHVG aufzuwerten. Der Aufwertungsfaktor beträgt vorliegend 1,221 (Aufwertungsfaktoren 2008, erster Eintrag in den individuellen Konten im Jahr 1971), sodass sich das aufgewertete Gesamteinkommen auf Fr. 203'887.-- beläuft. Geteilt durch die Anzahl der festgestellten Bei­tragsmonate (116) und multipliziert mit 12 ergibt dies ein durch­schnittliches Jahreseinkommen von Fr. 21'092.-- (Fr. 203'887.-- : 116 x 12). Das Kind des Beschwerdeführers ist 1965 ge­boren, weshalb dieser bis ins Jahr 1981 zusätzlich Anspruch auf Er­ziehungsgutschriften hat. Während der Jahre, in welchen die Ehefrau ebenfalls versichert war, erhält der Beschwerdeführer halbe Gutschriften und für das Jahr 1977 erhält er die ganze Gutschrift, da die Ehefrau nicht versichert war. Eine ganze Erziehungsgutschrift beträgt im Jahr 2008 Fr. 39'780.-- (dreifache jährliche minimale Altersrente). Der Beschwerde­führer erhält somit Fr. 159'120.-- Erziehungsgutschriften (6x [77 Monate Versicherungszeit entsprechen 6 Jahren und 5 Monaten] Fr. 39'780 : 2 + Fr. 39'780.--). Aufgeteilt auf die anrechenbare Beitragsdauer von 116 Mo­naten ergibt dies eine durchschnittliche Erziehungsgutschrift von jährlich Fr. 16'461.-- (Fr. 159'120.-- : 116 x 12). Das durchschnittliche jährliche Ein­kommen beläuft sich damit auf Fr. 37'553.-- (Fr. 21'092.-- + Fr. 16'461.--). Dieser Betrag ist auf den nächsthöheren Tabellenwert des massgebenden durch­schnittlichen Jahreseinkommens aufzurunden. Ge­mäss den Rententa­bellen 2007 (Skala 9, S. 88) ergibt ein massgebendes Einkommen von bis zu Fr. 38'454.-- eine monatliche Rente von Fr. 338.--. Diese Rente ist aufgrund des zweijährigen Vorbezugs noch um 13,6% zu kürzen, wes­halb schliesslich ein monatlicher Rentenanspruch von Fr. 292.-- resultiert.</w:t>
      </w:r>
    </w:p>
    <w:p>
      <w:r>
        <w:rPr>
          <w:b/>
        </w:rPr>
        <w:t>E. 3.2.4</w:t>
      </w:r>
    </w:p>
    <w:p>
      <w:r>
        <w:t>Zusammenfassend ist festzuhalten, dass die SAK die Altersrente des Beschwerdeführers korrekt ermittelt und die Ausrichtung einer ein­maligen Abfindung zu Recht verweigert hat, weshalb die Beschwerde abzuweisen ist.</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