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C-2859/2010 vom 23. August 2010</w:t>
      </w:r>
    </w:p>
    <w:p>
      <w:r>
        <w:t>Bundesverwaltungsgericht, 2010-08-23, FR</w:t>
      </w:r>
    </w:p>
    <w:p>
      <w:r>
        <w:rPr>
          <w:b/>
        </w:rPr>
        <w:t xml:space="preserve">Quelle: </w:t>
      </w:r>
      <w:r>
        <w:t>https://mcp.opencaselaw.ch/entscheid/bvger_C-2859_2010</w:t>
      </w:r>
    </w:p>
    <w:p>
      <w:r>
        <w:t>FR: TAF C-2859/2010 du 23 août 2010</w:t>
      </w:r>
    </w:p>
    <w:p>
      <w:r>
        <w:t>IT: TAF C-2859/2010 del 23 agosto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 voir également sur cette question et par rapport à la disposition de l'art. 27 LEtr applicable à la présente cause l'arrêt du Tribunal fédéral 2D_28/2009 du 12 mai 2009).</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al. 2 phr. 1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de l'ordonnance du 24 octobre 2007 relative à l'admission, au séjour et à l'exercice d'une activité lucrative [OASA,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Domaine des étrangers &gt; Procédure et répartition des compétences, version du 1er juillet 2009, consulté le 30 juillet 2010). Il s'ensuit que ni le TAF, ni l'ODM ne sont liés par la proposition du 11 décembre 2009 du SPOP-VD et qu'ils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5.2.2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l'ancienne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 cf. ALAIN WURZBURGER, La jurisprudence récente du Tribunal fédéral en matière de police des étrangers, Revue de droit administratif et de droit fiscal [RDAF] I 1997 p. 287; contra, Marc Spescha in Migrationsrecht, Marc Spescha, Hanspeter Thür, Andreas Zünd, Peter Bolzli, Migrationsrecht, Zurich 2008, ad art. 96 LEtr ch. 3 p. 206 et 207).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w:t>
      </w:r>
    </w:p>
    <w:p>
      <w:r>
        <w:rPr>
          <w:b/>
        </w:rPr>
        <w:t>E. 7.1</w:t>
      </w:r>
    </w:p>
    <w:p>
      <w:r>
        <w:t>Lors de sa demande d'autorisation d'entrée du 27 juillet 2006, A._______ a spécifiquement circonscrit le but de son séjour en Suisse à l'étude du français et de l'anglais durant une année à l'Institut Richelieu et à l'English Institute à Lausanne. A cette occasion, il a fourni un plan d'études détaillé précisant que la durée du cursus envisagé était d'une année. Il s'est également « solennellement » engagé à retourner en Chine « à la fin de ses études en Suisse en septembre 2007 » en précisant à ce propos: « Avec l'anglais et le français, étudiés les 2 chacune dans une école spécialisée, je pourrai à mon retour en Chine en octobre 2007 entrer au Zhejiang Université ou au Qinghua Université pour étudier les sciences » (cf. plan d'études daté du 26 juillet 2006 et lettre de motivation du 20 juin 2006 jointe à la demande d'entrée). Au demeurant, dans le cadre de son recours interjeté le 5 octobre 2007 contre la décision de l'ODM du 3 septembre 2007 refusant d'approuver l'octroi d'une autorisation de séjour en sa faveur, A._______ a réitéré les assurances qu'il quitterait la Suisse, après une année d'études du français et de l'anglais à Lausanne pour étudier les sciences en Chine. A._______ ayant accompli son année d'études de langues à Lausanne de septembre 2008 à septembre 2009, force est de constater que le prénommé a obtenu ce qu'il souhaitait et donc atteint le but initial de son séjour en territoire helvétique. Or, le 14 septembre 2009, le recourant a entrepris des démarches en vue d'entamer une nouvelle formation à l'EPFL pour l'obtention d'un master en mécanique (cf. formulaire du 14 septembre 2009 et courrier non daté transmis par le bureau des étrangers d'Ecublens le 3 décembre 2009). Il est à noter que dans son arrêt du 25 août 2008, le Tribunal avait expressément attiré l'attention du recourant sur le fait qu'une autorisation de séjour lui était accordée uniquement pour suivre durant une année un cours de français à l'Institut Richelieu et un cours d'anglais à l'English Institute de Lausanne et que ces formations devaient être sanctionnées au plus tard en septembre 2009 par les diplômes convoités. Au demeurant, le Tribunal prenait acte de l'engagement de A._______ de quitter la Suisse au terme de cette formation (cf. arrêt du Tribunal administratif fédéral C-6779/2007 du 25 août 2008 consid. 8 ). Il est dès lors indiscutable que la nouvelle formation envisagée par le recourant au sein de l'EPFL n'entre point dans le plan des études tel qu'il avait été arrêté avant son arrivée en Suisse en octobre 2008 et pour lequel seul il avait obtenu une autorisation d'entrée. L'intéressé a également démontré, par son comportement, qu'il ne semblait pas avoir saisi le caractère temporaire de son séjour en Suisse, ni le fait que l'octroi d'une autorisation de séjour pour études était régi par des conditions strictes s'agissant du programme d'études. Par voie de conséquence, il y a lieu de conclure que la condition liée au respect du programme de formation telle que prescrite à l'art. 23 al. 2 let. c OASA n'est plus réalisée. Il s'ensuit que le départ de Suisse de l'intéressé, qui, en voulant entamer un nouveau cursus d'études d'ingénieur à l'EPFL, est revenu sur son engagement de quitter ce pays à l'issue de la formation en langues entreprise initialement, ne paraît pas assuré au sens de l'art. 27 al. 1 let. d LEtr. Dans ce contexte, il convient de relever au demeurant que le retour d'un étudiant étranger dans sa patrie paraît généralement moins bien garanti au fur et à mesure que l'intéressé avançe en âge et que son séjour en Suisse se prolonge (cf. arrêts du TAF C-4419/2007 précité consid. 6.4 et C-6827/2007 du 22 avril 2009 consid. 8.2).</w:t>
      </w:r>
    </w:p>
    <w:p>
      <w:r>
        <w:rPr>
          <w:b/>
        </w:rPr>
        <w:t>E. 7.2</w:t>
      </w:r>
    </w:p>
    <w:p>
      <w:r>
        <w:t>Sur un autre plan, l'allégation du recourant, selon laquelle son père souffre d'importants problèmes de santé depuis 2005, ce qui l'incitera à retourner en Chine à la fin de ses études pour reprendre l'entreprise familiale (cf. recours du 23 avril 2010 p. 5 et 6) est à prendre en considération avec circonspection. En effet, si le père du recourant est effectivement souffrant depuis 2005, le Tribunal s'étonne que A._______ ne souhaite plus rentrer en Chine pour y accomplir ses études universitaires auprès de ses parents, comme il s'y était engagé (cf. arrêt du Tribunal administratif fédéral C-6779/2007 du 25 août 2008), mais au contraire désire prolonger son séjour à l'étranger pour y étudier jusqu'en septembre 2016 au moins. Enfin et pour terminer, le Tribunal s'étonne également que A._______ affirme dans la présente procédure que les examens d'entrée aux universités chinoises ont lieu uniquement au début du mois de juin (cf. recours du 23 avril 2010 p. 3), alors que dans sa lettre de motivation du 20 juin 2006, il affirmait: « Avec l'anglais et le français, étudiés les 2 chacune dans une école spécialisée, je pourrai à mon retour en Chine en octobre 2007 entrer au Zhejiang Université ou au Qinghua Université pour étudier les sciences ».</w:t>
      </w:r>
    </w:p>
    <w:p>
      <w:r>
        <w:rPr>
          <w:b/>
        </w:rPr>
        <w:t>E. 7.3</w:t>
      </w:r>
    </w:p>
    <w:p>
      <w:r>
        <w:t>Dès lors que le recourant ne remplit pas l'une des conditions cumulatives dont dépend l'octroi d'une autorisation de séjour pour l'acquisition d'une formation (cf. art. 27 al. 1 let. d LEtr en relation avec l'art. 23 al. 2 let. b et c OASA), le refus de l'ODM de donner son aval à l'octroi d'un tel titre de séjour en faveur de l'intéressé s'avère parfaitement fondé.</w:t>
      </w:r>
    </w:p>
    <w:p>
      <w:r>
        <w:rPr>
          <w:b/>
        </w:rPr>
        <w:t>E. 8</w:t>
      </w:r>
    </w:p>
    <w:p>
      <w:r>
        <w:t>Enfin, le fait que l'intéressé est entrepris une année de cours préparatoire en mathématique pour entrer à l'EPFL n'a aucune incidence pour l'appréciation du cas. Les dispositions ainsi prises par A._______ - qui au demeurant n'était au bénéfice d'aucune autorisation formelle pour le commencement de cette formation -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arrêt du Tribunal fédéral 2D_13/2009 du 9 mars 2009 consid. 2). Le TAF n'entend pas contester l'utilité pour l'intéressé de bénéficier de connaissances de haut niveau pour son avenir professionnel en Chine et comprend les aspirations de ce dernier à vouloir les acquérir. Toutefois, au vu des éléments du dossier, il ne saurait être fait grief à l'ODM d'avoir excédé ou abusé de son pouvoir d'appréciation en retenant que les conditions posées par l'art. 27 al. 1 LEtr - en relation avec l'art. 23 al. 2 OASA - n'étaient pas remplies dans le cas d'espèce.</w:t>
      </w:r>
    </w:p>
    <w:p>
      <w:r>
        <w:rPr>
          <w:b/>
        </w:rPr>
        <w:t>E. 9</w:t>
      </w:r>
    </w:p>
    <w:p>
      <w:r>
        <w:t>Eu égard aux considérations qui précèdent, c'est dès lors à bon droit que l'autorité intimée a refusé de donner son aval à l'octroi en faveur de A._______ d'une autorisation de séjour en vue de l'accomplissement d'une nouvelle formation en Suisse.</w:t>
      </w:r>
    </w:p>
    <w:p>
      <w:r>
        <w:rPr>
          <w:b/>
        </w:rPr>
        <w:t>E. 10</w:t>
      </w:r>
    </w:p>
    <w:p>
      <w:r>
        <w:t>Le refus de l'octroi d'une autorisation de séjour pour études devant être confirmé, c'est à juste titre également que l'ODM a prononcé le renvoi de Suisse du recourant, conformément à l'art. 66 al. 1 LEtr. Par ailleurs, l'intéressé n'invoque pas et, a fortiori, ne démontre pas l'existence d'obstacles à son retour en Chine et le dossier ne fait pas non plus apparaître que l'exécution de son renvoi serait illicite, inexigible ou impossible au sens de l'art. 83 al. 1 à 4 LEtr.</w:t>
      </w:r>
    </w:p>
    <w:p>
      <w:r>
        <w:rPr>
          <w:b/>
        </w:rPr>
        <w:t>E. 11</w:t>
      </w:r>
    </w:p>
    <w:p>
      <w:r>
        <w:t>Il ressort de ce qui précède que, par sa décision du 23 mars 2010, l'autorité de première instance n'a ni violé le droit fédéral ni constaté des faits pertinents de manière inexacte ou incomplète.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