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C-2856/2006 vom 20. Oktober 2008</w:t>
      </w:r>
    </w:p>
    <w:p>
      <w:r>
        <w:t>Bundesverwaltungsgericht, 2008-10-20, FR</w:t>
      </w:r>
    </w:p>
    <w:p>
      <w:r>
        <w:rPr>
          <w:b/>
        </w:rPr>
        <w:t xml:space="preserve">Quelle: </w:t>
      </w:r>
      <w:r>
        <w:t>https://mcp.opencaselaw.ch/entscheid/bvger_C-2856_2006</w:t>
      </w:r>
    </w:p>
    <w:p>
      <w:r>
        <w:t>FR: TAF C-2856/2006 du 20 octobre 2008</w:t>
      </w:r>
    </w:p>
    <w:p>
      <w:r>
        <w:t>IT: TAF C-2856/2006 del 20 ottobre 2008</w:t>
      </w:r>
    </w:p>
    <w:p>
      <w:pPr>
        <w:pStyle w:val="Heading2"/>
      </w:pPr>
      <w:r>
        <w:t>Regeste</w:t>
      </w:r>
    </w:p>
    <w:p>
      <w:r>
        <w:t>Assurance-invalidité (divers)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(art. 53 al. 2 de la Loi sur le Tribunal administratif fédéral du 17 juin 2005 [LTAF, RS 173.32]).</w:t>
      </w:r>
    </w:p>
    <w:p>
      <w:r>
        <w:rPr>
          <w:b/>
        </w:rPr>
        <w:t>E. 1.2</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1.3</w:t>
      </w:r>
    </w:p>
    <w:p>
      <w:r>
        <w:t>En vertu de l'art. 3 let. dbis PA, la procédure en matière d'assurances sociales n'est pas régie par la PA dans la mesure où la Loi fédérale du 6 octobre 2000 sur la partie générale du droit des assurances sociales (LPGA, RS 830.1) est applicable. L'art. 1 al. 1 LAI dispose que les dispositions de la LPGA s'appliquent à l'assurance-invalidité (art. 1a à 26bis et 28 à 70), à moins que la LAI ne déroge à la LPGA.</w:t>
      </w:r>
    </w:p>
    <w:p>
      <w:r>
        <w:rPr>
          <w:b/>
        </w:rPr>
        <w:t>E. 1.4</w:t>
      </w:r>
    </w:p>
    <w:p>
      <w:r>
        <w:t>Le recourant est particulièrement touché par la décision attaquée et a un intérêt digne de protection à ce qu'elle soit annulée ou modifiée (art. 59 LPGA). Il a, partant, qualité pour recourir. Dans la mesure où le recours a été introduit dans le délai et la forme prescrits (art. 60 LPGA et 52 PA), il est entré en matière sur le fond du recours.</w:t>
      </w:r>
    </w:p>
    <w:p>
      <w:r>
        <w:rPr>
          <w:b/>
        </w:rPr>
        <w:t>E. 2.1</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(ALCP, RS 0.142.112.681), entré en vigueur le 1er juin 2002, dont l'Annexe II règle la coordination des systèmes de sécurité sociale (art. 80a LAI). Conformément à l'art. 3 al. 1 du Règlement (CEE) N° 1408/71 du Conseil du 14 juin 1971,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2.2</w:t>
      </w:r>
    </w:p>
    <w:p>
      <w:r>
        <w:t>La LPGA est entrée en vigueur le 1er janvier 2003, entraînant la modification de nombreuses dispositions légales dans le domaine de l'assurance-invalidité. Selon l'art. 2 LPGA (également dans sa teneur en vigueur à partir du 1er janvier 2008), les dispositions de la présente loi sont applicables aux assurances sociales régies par la législation fédérale, si et dans la mesure où les lois spéciales sur les assurances sociales le prévoient. Or, l'art. 1 LAI mentionne que les dispositions de la LPGA s'appliquent à l'assurance-invalidité (art. 1a à 26bis et 28 à 70 ), à moins que ladite loi ne déroge expressément à la LPGA.</w:t>
      </w:r>
    </w:p>
    <w:p>
      <w:r>
        <w:rPr>
          <w:b/>
        </w:rPr>
        <w:t>E. 3</w:t>
      </w:r>
    </w:p>
    <w:p>
      <w:r>
        <w:t>S'agissant du droit applicable, il convient encore de préciser qu'à partir du 1er janvier 2004 la présente procédure, quant au droit matériel, est régie par la teneur de la LAI modifiée par la novelle du 21 mars 2003 (4ème révision), eu égard au principe selon lequel les règles applicables sont celles en vigueur au moment où les faits juridiquement déterminants se sont produits (ATF 130 V 445 consid. 1.2). Les dispositions de la 5ème révision de la LAI entrées en vigueur le 1er janvier 2008 ne sont donc pas applicables, alors que la procédure est soumise aux normes en vigueur au moment de l'examen du recours. Lors de l'examen d'un éventuel droit à une prestation de l'assurance-invalidité né avant l'entrée en vigueur au 1er janvier 2003 de la LPGA, respectivement avant le 1er janvier 2004, il y a lieu de se référer aux principes généraux en matière de droit intemporel selon lesquels sont en règle générale déterminantes les dispositions légales en vigueur lors de la réalisation de l'état de fait qui a des conséquences juridiques. Par conséquent, le droit à une prestation s'examine pour la période s'étendant jusqu'au 31 décembre 2002, respectivement le 31 décembre 2003, à la lumière des anciennes normes et, à partir de ce moment-là, des nouvelles (ATF 130 V 445 consid. 1.2).</w:t>
      </w:r>
    </w:p>
    <w:p>
      <w:r>
        <w:rPr>
          <w:b/>
        </w:rPr>
        <w:t>E. 4</w:t>
      </w:r>
    </w:p>
    <w:p>
      <w:r>
        <w:t>Est litigieux en l'espèce le droit du recourant à percevoir une rente entière d'invalidité après le 1er septembre 2006. Il s'agit donc d'examiner si c'est à raison que l'autorité inférieure a remplacé la rente entière allouée depuis le 1er mai 2002 par un quart de rente à partir du 1er septembre 2006. A cet égard, il convient de relever que la date de la décision attaquée (13 juillet 2006) marque la limite dans le temps du pouvoir d'examen de l'autorité de recours (ATF 129 V 4 consid. 2.1 et 121 V 366 consid. 1b).</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 Suite à l'entrée en vigueur le 1er juin 2002 de l'ALCP, la restriction prévue à l'art. 28 al. 1ter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w:t>
      </w:r>
    </w:p>
    <w:p>
      <w:r>
        <w:rPr>
          <w:b/>
        </w:rPr>
        <w:t>E. 5.3</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6.2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7.2</w:t>
      </w:r>
    </w:p>
    <w:p>
      <w:r>
        <w:t>En effet, l'art. 53 al. 2 LPGA prévoit que l'assureur ou le juge peut revenir sur les décisions ou les décisions sur opposition formellement passées en force lorsqu'elles sont manifestement erronées et que leur rectification revêt une importance notable. Selon la jurisprudence, pour juger s'il est admissible de reconsidérer pour le motif qu'une décision est sans doute erronée, il faut se fonder sur la situation juridique existant au moment où cette décision est rendue, compte tenu de la pratique en vigueur à l'époque (ATF 119 V 479 consid. 1b/cc et réf. cit.). Par le biais de la reconsidération, on corrigera une application initiale erronée du droit, de même qu'une constatation erronée des faits (ATF 117 V 17 consid. 2c; ATF 115 V 314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TFA du 6 mai 2003, I 375/02 consid. 2.2). Par ailleurs, on ne saurait supprimer ou diminuer une rente par voie de reconsidération si, depuis son octroi manifestement inexact, des modifications de l'état de fait justifient de retenir un taux d'invalidité suffisant pour que la prestation en question soit maintenue (même arrêt, consid. 5.1).</w:t>
      </w:r>
    </w:p>
    <w:p>
      <w:r>
        <w:rPr>
          <w:b/>
        </w:rPr>
        <w:t>E. 7.3</w:t>
      </w:r>
    </w:p>
    <w:p>
      <w:r>
        <w:t>Dans le cas présent, la décision initiale du 24 janvier 2003 n'a pas fait l'objet d'un recours si bien qu'elle est formellement entrée en force. La première condition pour procéder à une reconsidération est donc remplie. Reste à déterminer si elle était sans nul doute erronée. Lors du prononcé du 30 octobre 2002 à l'origine de la décision d'octroi d'une rente entière, l'OAI/ZH, à l'issue d'une procédure ordinaire, était bien renseigné quant à la nature des atteintes subies par le recourant et leur incidence sur la capacité de travail. En effet, pour établir le degré d'invalidité, l'Office cantonal AI s'était basé en particulier sur les rapports de la clinique universitaire B._______ des 11 avril, 29 août et 12 septembre 2002, ainsi que sur le protocole de son service d'orientation professionnelle du 29 mai 2002 et le rapport final du 15 octobre 2002. En conséquence, l'instruction menée à l'époque par l'OAI/ZH ne montre aucune lacune et ne prête pas à la critique. Eu égard à ce qui précède, une reconsidération de la décision initiale fixant le degré d'invalidité à 100% et prévoyant une révision à court terme (mars 2004) ne saurait se concevoir, ce d'autant plus que cet argument n'est finalement plus soutenu par l'autorité inférieure. Il convient alors d'examiner si une diminution des prestations allouées peut être motivée en se basant sur les dispositions de l'art. 17 LPGA.</w:t>
      </w:r>
    </w:p>
    <w:p>
      <w:r>
        <w:rPr>
          <w:b/>
        </w:rPr>
        <w:t>E. 8.1</w:t>
      </w:r>
    </w:p>
    <w:p>
      <w:r>
        <w:t>Aux termes des art. 8 al. 1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8.2</w:t>
      </w:r>
    </w:p>
    <w:p>
      <w:r>
        <w:t>En l'espèce, le recourant a bénéficié dès le 1er mai 2002 d'une rente entière d'invalidité pour un degré d'invalidité de 100% (décision du 24 janvier 2003) en raison d'un syndrome douloureux chronique au niveau de la colonne cervicale et lombaire, d'un status après décompression intralaminaire des segments L3/4 et L4/5 et d'une fascite plantaire bilatérale associée à une péri-tendinite du tendon tibial postérieur. Le remplacement de la rente entière par un quart de rente à partir du 1er septembre 2006 pour un degré d'invalidité de 45% a été notifié au recourant par décision de révision du 13 juillet 2006. Par conséquent, la question de savoir si le degré d'invalidité a subi une modification doit être examinée en comparant les faits tels qu'ils se présentaient à l'époque de la décision du 24 janvier 2003 et ceux qui ont existé jusqu'à la date de la décision litigieuse du 13 juillet 2006. Durant cette période soumise au pouvoir d'examen de l'autorité de céans, l'assuré n'a exercé aucune activité lucrative; il est dès lors impossible dans le cas concret de déterminer la mesure de l'incapacité de gain en se fondant sur des données d'ordre économique. L'éventuelle modification du taux d'invalidité doit donc être évaluée uniquement sur la base des données médicales (ATF 115 V 133, ATF 114 V 314, ATF 105 V 159, ATF 98 V 173).</w:t>
      </w:r>
    </w:p>
    <w:p>
      <w:r>
        <w:rPr>
          <w:b/>
        </w:rPr>
        <w:t>E. 8.3</w:t>
      </w:r>
    </w:p>
    <w:p>
      <w:r>
        <w:t>Les avis des médecins qui se sont prononcés à cet égard ne sont pas concordants. Ainsi, le Dr Q._______ se contente-t-il, dans un certificat du 3 novembre 2004, de relever des altérations dégénératives de la colonne vertébrale ainsi que l'intervention subie au niveau de la colonne lombaire et de souligner que l'assuré bénéficie régulièrement de physiothérapie et de gymnastique aquatique dans un cadre de persistance de la symptomatologie douloureuse au niveau cervical et lombaire, avec paresthésie des membres inférieurs. Le Dr F._______ de son côté note dans un rapport daté du 15 décembre 2004 que l'examen neurologique pratiqué ce jour a révélé un Lasègue positif des deux côtés, signalant une aggravation potentielle de l'état de santé par le travail et la surcharge lombosacrée, alors que le rapport du 8 novembre 2004, établi par le médecin conseil de la sécurité sociale portugaise, ne contient aucun élément susceptible de mettre en lumière la situation médicale. Le Dr L._______ (service médical de l'OAIE) a dès lors estimé qu'il était nécessaire de soumettre l'assuré à une expertise médicale orthopédique à la clinique universitaire B._______. Faute de disponibilités, le mandat d'expertise a été confiée au Prof J._______ lequel, dans son rapport du 10 septembre 2005, a conclu à une capacité de travail de 50% au moins dans la profession d'ouvrier du bâtiment et à une capacité de travail de 80 à 100% dans une activité physiquement peu exigeante comme magasinier, vendeur, livreur ou coursier. La Dresse V._______, appelée à compléter l'expertise par un bilan neurologique, a pour sa part évoqué l'opportunité d'investigations plus poussées. Le Dr L._______, ne pouvant se rallier sans autre aux conclusions du Prof J._______, a alors proposé que la Dresse V._______ soit invitée à se prononcer quant à une expertise neurologique en milieu stationnaire à la Clinique de neurologie à Berne. Or l'OAIE a soumis le dossier à un autre médecin de son service médical (Dr Y._______) pour prise de position. Ce dernier, dans un exposé daté du 8 décembre 2005, a considéré que la décision initiale octroyant une rente entière d'invalidité avait été mal fondée à plusieurs égards. Il conviendrait toutefois de retenir une incapacité de travail durable de 70% dans l'activité physiquement lourde de man?uvre du bâtiment. En revanche, la capacité résiduelle de travail pour des activités légères, sans port de charges de plus de 15kg et sans devoir se baisser de manière répétée serait conservée et l'exercice d'une activité telle que concierge, gardien d'immeuble ou de chantier, surveillant, magasinier, caissier, vendeur dans un commerce de détail, réparateur d'articles domestiques, serait médicalement exigible. Au vu des examens neurologiques déjà pratiqués, une investigation supplémentaire n'est pas jugée nécessaire. Une première évaluation de la perte de gain par le service concerné de l'OAIE a mis en évidence une perte de gain de 31% dans l'exercice d'une activité de substitution à plein temps. Dans son calcul, l'OAIE a procédé à une diminution du salaire d'invalide de 10% pour tenir compte de l'âge et du fait que le recourant ne peut accomplir que des tâches légères ou en position assise. Proposant d'abord dans son rapport du 7 février 2006 de considérer la décision initiale de rente ainsi que celle excluant la possibilité d'une réintégration professionnelle comme manifestement erronées, l'OAIE, dans un second rapport, le 7 avril 2006, a toutefois conclu qu'il n'y avait pas lieu de procéder à une reconsidération. Néanmoins, à son avis, l'OAI/ZH se serait prononcé prématurément sur le droit à une rente d'invalidité, alors que le traitement et les investigations médicales n'étaient pas terminées. Il conviendrait dès lors d'évaluer l'état de santé et la capacité de travail de l'assuré à la lumière des résultats de toutes les investigations précédentes et de l'expertise du Prof J._______ et ainsi de tabler sur une capacité de travail résiduelle de 80% pour les activités de substitution désignées par le Dr Y._______. La perte de gain que subirait l'assuré depuis le 15 août 2005 (date de l'examen ambulatoire par le Prof J._______) s'élèverait à 45%. Or le rapport de la clinique universitaire B._______ du 11 avril 2002 avait signalé une incapacité de travail de 100% depuis le mois de février 2001, retenant un bon pronostic et préconisant une remise au travail par étape dans une activité physique moyenne. Complétant le diagnostic dans le rapport du 29 août 2002, les médecins du B._______ avaient maintenu une incapacité de 100% et avaient souligné la nécessité d'une mise en ?uvre de mesures professionnelles afin de préserver la capacité de travail. Dans le rapport de sortie du 12 septembre 2002, une incapacité de travail de 100% était toujours attestée, jusqu'à nouvel avis. Outre un séjour de 4 semaines au Portugal, vivement recommandé du point de vue médical, les médecins avaient prévu un suivi psychiatrique à l'avenir et demandé une nouvelle évaluation de l'état neurologique par le Prof Dr U._______. Ce dernier, dans un rapport du 2 octobre 2002, avait relevé une augmentation pathologique des réflexes musculaires sans signes pyramidaux ainsi que de brèves pertes de conscience (rapportées par l'entourage de l'assuré) et avait suggéré de réaliser une tomodensitométrie en position inclinée, avant de réévaluer la situation. Compte tenu des appréciations médicales divergentes - la Dresse V._______, dans son rapport du 2 septembre 2005, avait également évoqué l'opportunité d'investigations neurologiques complémentaires et le Dr L._______, se référant aux prestations futures demandées, avait souligné l'intérêt de l'administration de clarifier la situation autant que possible -, et le fait que les rapports médicaux au dossier datent déjà de plusieurs années, l'autorité de céans ne saurait se rallier à la seule appréciation du chirurgien-orthopédiste et confirmer les conclusions de l'autorité inférieure. Vu ce qui précède, le recours doit être admis en ce sens que la décision attaquée est annulée et la cause renvoyée à l'OAIE afin que celui-ci prenne une nouvelle décision.</w:t>
      </w:r>
    </w:p>
    <w:p>
      <w:r>
        <w:rPr>
          <w:b/>
        </w:rPr>
        <w:t>E. 9</w:t>
      </w:r>
    </w:p>
    <w:p>
      <w:r>
        <w:t>L'art. 61 PA ne permet de recourir à cette solution que dans les cas exceptionnels. In casu l'application de l'exception prévue est toutefois justifiée si l'on considère les lacunes présentes dans cette cause et l'ampleur des informations à recueillir. Par conséquent, l'Office de l'assurance-invalidité pour les assurés résidant à l'étranger soumettra le recourant à une expertise pluridisciplinaire (neurologique, psychiatrique, orthopédique) auprès d'un hôpital universitaire en Suisse. Les experts se prononceront sur l'évolution des pathologies présentes et leur incidence sur la capacité de travail résiduelle dès le 24 janvier 2003. Le dossier ainsi complété sera soumis au service médical de l'autorité inférieure lequel se prononcera sur le degré d'invalidité jusqu'à la date de la décision attaquée, et de cette date à la visite, en tenant compte de toutes les limitations constatées dans la dernière activité exercée (maçon) et les activités de substitution exigibles qu'il conviendra de définir avec précision. Ensuite, après la procédure d'audition, l'autorité inférieure rendra une nouvelle décision sujette à recours.</w:t>
      </w:r>
    </w:p>
    <w:p>
      <w:r>
        <w:rPr>
          <w:b/>
        </w:rPr>
        <w:t>E. 10</w:t>
      </w:r>
    </w:p>
    <w:p>
      <w:r>
        <w:t>La décision attaquée a été rendue après le 1er juillet 2006, entrée en vigueur de l'art. 69 al. 2 LAI soumettant la procédure de recours en matière de contestations portant sur l'octroi ou le refus de prestations de l'AI devant le Tribunal administratif fédéral à des frais de procédure. Au vu de l'issue de la procédure, il n'est pas perçu de frais de procédure (art. 37 LTAF et 63 al. 2 et 3 PA). Attendu que le recourant n'avait pas à supporter des frais indispensables et relativement élevés, aucune indemnité de dépens n'est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