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C-2852/2025 vom 15. August 2025</w:t>
      </w:r>
    </w:p>
    <w:p>
      <w:r>
        <w:t>Bundesverwaltungsgericht, 2025-08-15, DE</w:t>
      </w:r>
    </w:p>
    <w:p>
      <w:r>
        <w:rPr>
          <w:b/>
        </w:rPr>
        <w:t xml:space="preserve">Quelle: </w:t>
      </w:r>
      <w:r>
        <w:t>https://mcp.opencaselaw.ch/entscheid/bvger_C-2852_2025</w:t>
      </w:r>
    </w:p>
    <w:p>
      <w:r>
        <w:t>FR: TAF C-2852/2025 du 15 août 2025</w:t>
      </w:r>
    </w:p>
    <w:p>
      <w:r>
        <w:t>IT: TAF C-2852/2025 del 15 agosto 2025</w:t>
      </w:r>
    </w:p>
    <w:p>
      <w:pPr>
        <w:pStyle w:val="Heading2"/>
      </w:pPr>
      <w:r>
        <w:t>Regeste</w:t>
      </w:r>
    </w:p>
    <w:p>
      <w:r>
        <w:t>Invalidenversicherung (Übriges)</w:t>
      </w:r>
    </w:p>
    <w:p>
      <w:pPr>
        <w:pStyle w:val="Heading2"/>
      </w:pPr>
      <w:r>
        <w:t>Erwägungen</w:t>
      </w:r>
    </w:p>
    <w:p>
      <w:r>
        <w:rPr>
          <w:b/>
        </w:rPr>
        <w:t>E. 1</w:t>
      </w:r>
    </w:p>
    <w:p>
      <w:r>
        <w:t>Auf die Eingabe vom 6. Februar 2025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A._______, die Vorinstanz und das BSV.</w:t>
      </w:r>
    </w:p>
    <w:p>
      <w:r>
        <w:t>Der Einzelrichter: Die Gerichtsschreiberin:</w:t>
      </w:r>
    </w:p>
    <w:p>
      <w:r>
        <w:t>Philipp Egli Julia Pandey</w:t>
      </w:r>
    </w:p>
    <w:p>
      <w:r>
        <w:t>(Für die Rechtsmittelbelehrung wird auf die nächste Seite verwiesen.)</w:t>
      </w:r>
    </w:p>
    <w:p>
      <w:r>
        <w:t>C-2852/2025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