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C-2851/2015 vom 7. Dezember 2015</w:t>
      </w:r>
    </w:p>
    <w:p>
      <w:r>
        <w:t>Bundesverwaltungsgericht, 2015-12-07, DE</w:t>
      </w:r>
    </w:p>
    <w:p>
      <w:r>
        <w:rPr>
          <w:b/>
        </w:rPr>
        <w:t xml:space="preserve">Quelle: </w:t>
      </w:r>
      <w:r>
        <w:t>https://mcp.opencaselaw.ch/entscheid/bvger_C-2851_2015</w:t>
      </w:r>
    </w:p>
    <w:p>
      <w:r>
        <w:t>FR: TAF C-2851/2015 du 7 décembre 2015</w:t>
      </w:r>
    </w:p>
    <w:p>
      <w:r>
        <w:t>IT: TAF C-2851/2015 del 7 dicembre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der am Einspracheverfahren teilgenommen hat, ist gemäss Art. 48 Abs. 1 Bst. a VwVG beschwerdelegitimiert. Auch die weiteren, unter Art. 48 Abs. 1 Bst. b und c VwVG genannten Voraussetzungen liegen in seinem Fall vor.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von Kuba.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Insbesondere haben sie glaubhaft zu machen,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[nachfolgend: Visakodex], ABl. L 243/1 vom 15.09.2009; vgl. zum Personenkreis: Art. 2 Ziff. 5 und Ziff. 6 SGK).</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Kuba zu diesen Staaten zählt, unterliegt die Gesuchstellerin der Visumspflicht.</w:t>
      </w:r>
    </w:p>
    <w:p>
      <w:r>
        <w:rPr>
          <w:b/>
        </w:rPr>
        <w:t>E. 5.2</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6.1</w:t>
      </w:r>
    </w:p>
    <w:p>
      <w:r>
        <w:t>Kubas Wirtschaft ist im Jahr 2014 um lediglich 1,4% gewachsen (2013: 2,7%, 2012: 3,1%). Nennenswerte Steigerungen der Exporte sind noch nicht zu erkennen; der für jenes Jahr vermeldete Zahlungsbilanzüberschuss beruht aber wahrscheinlich vor allem auf dem Dienstleistungsexport in den Bereichen Tourismus und Gesundheitswesen. Zur Inflationsrate liegen für 2014 keine offiziellen Zahlen vor, sie dürfte jedoch in Folge höherer Lebensmittelpreise deutlich angestiegen sind. Auch in Bezug auf das Bruttoinlandprodukt fehlt, dies aufgrund der beiden nebeneinander existierenden Währungen von CUC ("konvertibler" Peso, 1:1 zum USD) und CUP ("Peso Cubano"), eine zuverlässige Berechnung. Durch punktuelle Änderungen soll Kubas Volkswirtschaft leistungsfähiger werden; zu diesem Zweck wurden in den vergangenen Jahren Massnahmen beschlossen, mit denen "nichtstaatliche" Formen der Erwerbstätigkeit teils erlaubt, teils gefördert werden sollen. So traten Anfang 2013 ein neues Steuergesetz und ein neues Arbeitsgesetz in Kraft. Ende Juni 2014 folgte ein lang vorbereitetes neues Investitionsgesetz, das explizit auf ausländische Investitionen abzielt, um der kubanischen Wirtschaft Schwung zu verleihen. Nach wie vor ist jedoch der Umstand, dass Kubas Wirtschaft planwirtschaftlich gelenkt wird, ein Hindernis für grösseres Wachstum. Das staatliche monatliche Durchschnittseinkommen betrug im Jahr 2014 knapp 25 CUC bzw. USD und ist damit, trotz einer Steigerung gegenüber dem Vorjahr, immer noch sehr gering. Von daher ist der Lebensstandard der Kubaner abhängig vom Zugang zur konvertiblen Währung, sei es durch Überweisungen aus dem Ausland, einer Beschäftigung im Tourismussektor oder einer Tätigkeit in einem Joint Venture (vgl. www.auswaertiges-amt.de &gt; Aussen- und Europapolitik &gt; Länderinformationen &gt; Kuba &gt; Wirtschaft, Stand: September 2015, besucht im November 2015, sowie Urteil des BVGer C-6305/2011 vom 10. April 2013 E. 7.1 m.H.).</w:t>
      </w:r>
    </w:p>
    <w:p>
      <w:r>
        <w:rPr>
          <w:b/>
        </w:rPr>
        <w:t>E. 6.2</w:t>
      </w:r>
    </w:p>
    <w:p>
      <w:r>
        <w:t>Die Gesuchstellerin ist 23 Jahre alt. In ihrem schriftlichen Visumsgesuch und dem dazugehörigen Zusatzfragebogen bezeichnete sie sich als Hausfrau (ama casa), die zurzeit im Mutterschaftsurlaub (licencia de maternidad) stehe und hierfür eine Entschädigung erhalte (vgl. Vorakten S. 34 und 25). Eigene Angaben zum Kind und dessen Geburtsdatum fehlen zwar, aufgrund der zeitnahen Auskunft des Gastgebers, seine Freundin sei Mutter eines einjährigen Sohnes, kann aber in etwa von dieser Altersangabe ausgegangen werden. (vgl. kantonale Abklärungen vom 18./20. März 2015, Vorakten S. 40).</w:t>
      </w:r>
    </w:p>
    <w:p>
      <w:r>
        <w:rPr>
          <w:b/>
        </w:rPr>
        <w:t>E. 6.2.1</w:t>
      </w:r>
    </w:p>
    <w:p>
      <w:r>
        <w:t>Grundsätzlich wäre mütterliche Verantwortung ein Umstand, der die Rückkehrbereitschaft einer Besucherin aus dem Ausland nicht in Frage stellen dürfte. Dennoch - und trotz der Behauptung des Beschwerdeführers, keine Mutter lasse ihr Kinde allein - ist vorliegend die fristgerechte Wiederausreise der Gesuchstellerin zu bezweifeln. Lässt diese ein Kleinkind, dem Grund und Dauer der mütterlichen Abwesenheit nicht erklärt werden können, für die immerhin relativ lange Zeitspanne von drei Monaten in fremder Obhut zurück, so scheint für sie auch eine fortwährende Fremdbetreuung nicht undenkbar zu sein. Immerhin hat der Beschwerdeführer gegenüber dem Kanton angegeben, dass ihr Sohn von Montag bis Freitag tagsüber in einer Krippe und abends und am Wochenende bei ihrer Mutter gut aufgehoben sein würde (Vorakten S. 40).</w:t>
      </w:r>
    </w:p>
    <w:p>
      <w:r>
        <w:rPr>
          <w:b/>
        </w:rPr>
        <w:t>E. 6.2.2</w:t>
      </w:r>
    </w:p>
    <w:p>
      <w:r>
        <w:t>Abgesehen davon sind auch keine beruflichen Bindungen der Gesuchstellerin ersichtlich. Aus den kantonalen Abklärungen geht zwar hervor, dass sie vor der Geburt ihres Kindes als Buchhalterin tätig war, nicht aber, dass sie diesen Beruf auch nach Beendigung des Mutterschaftsurlaubs wieder ausüben würde (vgl. Vorakten S. 40 f.). Der Beschwerdeführer hat im Rahmen dieser Abklärungen lediglich angegeben, seine Freundin würde im Anschluss an ihre Rückkehr nach Kuba "den Sohn grossziehen und ihre Mutter beim Haushalt unterstützen". Auch in seiner Rechtsmitteleingabe macht er nicht geltend, dass seine Freundin nach dem beabsichtigten Besuch in der Schweiz in ihren Beruf zurückkehren müsste; vielmehr erwähnt er, dass sie - wie ihre Schwester - "ebenfalls nicht arbeitstätig" sei.</w:t>
      </w:r>
    </w:p>
    <w:p>
      <w:r>
        <w:rPr>
          <w:b/>
        </w:rPr>
        <w:t>E. 6.2.3</w:t>
      </w:r>
    </w:p>
    <w:p>
      <w:r>
        <w:t>Zwingende Verpflichtungen, welche die Gesuchstellerin an ihr Heimatland binden, sind folglich - und in Übereinstimmung mit den Erwägungen der Vorinstanz - nicht anzunehmen. Der Gesuchstellerin wird damit keineswegs unterstellt, ihre Heimat und ihren Sohn leichtfertig verlassen zu wollen. Allerdings kann nicht ausgeblendet werden, dass aufgrund der dortigen wirtschaftlichen Verhältnisse viele Personen emigrieren, um die zuhause verbliebenen Angehörigen finanziell besser unterstützen zu können. Die Vermutung, die Gesuchstellerin verfolge mit dem geplanten Besuch bei ihrem Freund auch andere Ziele, kann von daher nicht ausgeschlossen werden. Erst recht gilt dies angesichts des Umstands, dass sie sich bereits kurz nach einer ersten und eigenen Angaben zufolge elftägigen Kennenlernphase zu einem Besuch in der Schweiz entschloss (vgl. den Zusatzfragebogen zum Visumsgesuch, Vorakten S. 25).</w:t>
      </w:r>
    </w:p>
    <w:p>
      <w:r>
        <w:rPr>
          <w:b/>
        </w:rPr>
        <w:t>E. 6.3</w:t>
      </w:r>
    </w:p>
    <w:p>
      <w:r>
        <w:t>Der Beschwerdeführer hat keine überzeugenden Gründe genannt, die für die anstandslose Wiederausreise der Gesuchstellerin sprechen könnten. Zwar bestehen keine Zweifel an seiner Überzeugung und dem eigenen Interesse daran, dass seine Freundin wieder nach Kuba zurückkehrt; dennoch kann darauf nicht abgestellt werden. Gastgeber können zwar für gewisse finanzielle Risiken im Zusammenhang mit einem Besuchsaufenthalt garantieren, nicht jedoch für die tatsächlichen Absichten und für ein bestimmtes Verhalten ihrer Gäste (vgl. BVGE 2009/27 E. 9).</w:t>
      </w:r>
    </w:p>
    <w:p>
      <w:r>
        <w:rPr>
          <w:b/>
        </w:rPr>
        <w:t>E. 6.4</w:t>
      </w:r>
    </w:p>
    <w:p>
      <w:r>
        <w:t>Warum nicht der Gesuchstellerin, aber ihrer Schwester ein Visum erteilt wurde, hat die Vorinstanz in ihrer Vernehmlassung vom 10. Juli 2015 dargelegt. Für den Fall, dass der Beschwerdeführer die Beziehung zu seiner Freundin über längere Zeit hinweg mittels mehrerer Besuche festigen sollte, hat sie aber auch der Gesuchstellerin eine Einreisebewilligung in Aussicht gestellt. Von daher beruft sich der Beschwerdeführer - der im Zeitpunkt seiner Rechtsmitteleingabe erst zweimal in Kuba war - zu Unrecht darauf, dass seiner Freundin angesichts der gleich scheinenden Lebensumstände ihrer Schwester unmittelbar ein Visum ausgestellt werden müsste. Er hat, im Übrigen, auch auf eine Stellungnahme zur vor-instanzlichen Vernehmlassung verzichtet.</w:t>
      </w:r>
    </w:p>
    <w:p>
      <w:r>
        <w:rPr>
          <w:b/>
        </w:rPr>
        <w:t>E. 7</w:t>
      </w:r>
    </w:p>
    <w:p>
      <w:r>
        <w:t>Gründe, die es erlauben würden, der Gesuchstellerin ein humanitäres Visum mit räumlich beschränkter Gültigkeit auszustellen (vgl. E. 4.2), bestehen nicht. Einerseits bestehen zwischen ihr und ihrem Gastgeber keine familiären Beziehungen, anderseits hat dieser während seiner Ferien jederzeit die Möglichkeit, seine Freundin in Kuba zu besuchen.</w:t>
      </w:r>
    </w:p>
    <w:p>
      <w:r>
        <w:rPr>
          <w:b/>
        </w:rPr>
        <w:t>E. 8</w:t>
      </w:r>
    </w:p>
    <w:p>
      <w:r>
        <w:t>Mit der Vorinstanz ist somit davon auszugehen, dass die Gesuchstellerin die Einreisevoraussetzungen (vgl. E. 4.1) nicht erfüllt. Der angefochtene Einspracheentscheid ist daher als rechtmässig zu bestätigen (vgl. Art. 49 VwVG) und die Beschwerde folglich abzuweisen.</w:t>
      </w:r>
    </w:p>
    <w:p>
      <w:r>
        <w:rPr>
          <w:b/>
        </w:rPr>
        <w:t>E. 9</w:t>
      </w:r>
    </w:p>
    <w:p>
      <w:r>
        <w:t>Bei diesem Ausgang des Verfahrens sind die Kosten den Beschwerdeführenden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