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C-2850/2013 vom 9. März 2015</w:t>
      </w:r>
    </w:p>
    <w:p>
      <w:r>
        <w:t>Bundesverwaltungsgericht, 2015-03-09, FR</w:t>
      </w:r>
    </w:p>
    <w:p>
      <w:r>
        <w:rPr>
          <w:b/>
        </w:rPr>
        <w:t xml:space="preserve">Quelle: </w:t>
      </w:r>
      <w:r>
        <w:t>https://mcp.opencaselaw.ch/entscheid/bvger_C-2850_2013</w:t>
      </w:r>
    </w:p>
    <w:p>
      <w:r>
        <w:t>FR: TAF C-2850/2013 du 9 mars 2015</w:t>
      </w:r>
    </w:p>
    <w:p>
      <w:r>
        <w:t>IT: TAF C-2850/2013 del 9 marzo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1.4</w:t>
      </w:r>
    </w:p>
    <w:p>
      <w:r>
        <w:t>Il s'impose d'emblée de relever que le Tribunal ne peut examiner que les rapports de droit sur lesquels l'autorité administrative compétente s'est prononcée sous la forme d'une décision, laquelle détermine l'objet de la contestation (cf. ATF 136 II 165 consid. 5, 134 V 418 consid. 5.2.1; ATAF 2010/5 consid. 2), de sorte que les demandes de suspension de la mesure d'éloignement prise à l'encontre de A._______ ne peuvent faire l'objet d'un examen dans la présente procédure.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2013/158/EU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également 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voir également arrêts du TAF C 6801/2010 du 1er avril 2011 consid. 4, C 1667/2010 du 21 mars 2011 consid. 3.3).</w:t>
      </w:r>
    </w:p>
    <w:p>
      <w:r>
        <w:rPr>
          <w:b/>
        </w:rPr>
        <w:t>E. 3.3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3.4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Zünd/ Arquint Hill, Beendigung der Anwesenheit, Entfernung und Fernhaltung, in Uebersax et al. [éd.], Ausländerrecht, 2ème éd., 2009, n° 8.80).</w:t>
      </w:r>
    </w:p>
    <w:p>
      <w:r>
        <w:rPr>
          <w:b/>
        </w:rPr>
        <w:t>E. 4.1</w:t>
      </w:r>
    </w:p>
    <w:p>
      <w:r>
        <w:t>Dans le cas particulier, l'ODM (maintenant SEM) a prononcé à l'encontre de A._______ une décision d'interdiction d'entrée fondée sur l'art. 67 LEtr, valable du 17 janvier 2013 au 16 janvier 2018, au motif que le prénommé avait mis en danger la sécurité et l'ordre publics en raison de la gravité des infractions commises. Il s'est cependant refusé à qualifier de grave la mise en danger de la sécurité et de l'ordre publics, renonçant ainsi à faire application de l'art. 67 al. 3 LEtr, 2e phrase.</w:t>
      </w:r>
    </w:p>
    <w:p>
      <w:r>
        <w:rPr>
          <w:b/>
        </w:rPr>
        <w:t>E. 4.2</w:t>
      </w:r>
    </w:p>
    <w:p>
      <w:r>
        <w:t>L'examen du dossier montre que l'intéressé a été condamné une première fois le 15 avril 1997 par le Tribunal criminel de Bulle à 4 mois d'emprisonnement sous déduction de 86 jours de détention préventive ainsi qu'à une expulsion du territoire suisse pour une durée de 5 ans avec un sursis de 5 ans pour complicité de vol, recel et infraction à l'ordonnance du Conseil fédéral du 18 décembre 1991 sur l'acquisition et le port d'armes à feu par des ressortissants yougoslaves. Il a ensuite été condamné à trois jours d'arrêts et à 500 francs d'amende, le 11 février 2000, pour infraction aux règles de la circulation routière et violation des devoirs en cas d'accident. Il a enfin été condamné le 10 mai 2005 par le Tribunal pénal de l'arrondissement de la Sarine du canton de Fribourg pour crime à la LStup, participation à une organisation criminelle, blanchiment d'argent et délit contre la loi fédérale sur les armes à 4 ans de réclusion sous déduction de 473 jours de détention préventive. En outre, son expulsion du territoire suisse pour une durée de 5 ans a été prononcée et le sursis à l'expulsion de 5 ans prononcée le 15 avril 1997 a été révoqué (il convient toutefois de relever qu'avec les modifications introduites au 1er janvier 2007 dans le CP, l'ancien art. 55 CP relatif à l'expulsion a été supprimé). Le recourant ne conteste d'ailleurs nullement ces faits dans son pourvoi. Force est de constater que la peine prononcée en mai 2005 consiste en une condamnation à une peine de longue durée, dans le sens de la jurisprudence citée (cf. consid. 3.4 ci-dessus).</w:t>
      </w:r>
    </w:p>
    <w:p>
      <w:r>
        <w:rPr>
          <w:b/>
        </w:rPr>
        <w:t>E. 4.3</w:t>
      </w:r>
    </w:p>
    <w:p>
      <w:r>
        <w:t>C'est ici le lieu de rappeler que la pratique sévère adoptée par les autorité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p. 222, ATF 125 II 521 consid. 4a/aa p. 526s.;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la jurisprudence citée);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w:t>
      </w:r>
    </w:p>
    <w:p>
      <w:r>
        <w:rPr>
          <w:b/>
        </w:rPr>
        <w:t>E. 4.4</w:t>
      </w:r>
    </w:p>
    <w:p>
      <w:r>
        <w:t>A ce stade, il y a donc lieu de retenir que le recourant s'est rendu coupable d'infractions qui présentent objectivement un degré de gravité important et dont on ne saurait contester qu'elles affectent un intérêt fondamental de la société. Il a ainsi clairement attenté à la sécurité et à l'ordre publics en Suisse au sens de l'art. 67 al. 2 let. a LEtr, de sorte qu'il se justifiait pleinement de prononcer, sur cette base, une interdiction d'entrée à son encontre.</w:t>
      </w:r>
    </w:p>
    <w:p>
      <w:r>
        <w:rPr>
          <w:b/>
        </w:rPr>
        <w:t>E. 4.5</w:t>
      </w:r>
    </w:p>
    <w:p>
      <w:r>
        <w:t>Dans son recours, le prénommé s'est toutefois prévalu explicitement de l'art. 8 CEDH, en invoquant que la décision attaquée l'empêchait d'entretenir des relations avec sa famille domiciliée en Suisse. Il s'est par ailleurs référé à deux arrêts, l'un rendu par la CourEDH contre la Suisse et l'autre par le Tribunal fédéral, en estimant se trouver dans une situation similaire à celles analysées par ces deux instances.</w:t>
      </w:r>
    </w:p>
    <w:p>
      <w:r>
        <w:rPr>
          <w:b/>
        </w:rPr>
        <w:t>E. 4.5.1</w:t>
      </w:r>
    </w:p>
    <w:p>
      <w:r>
        <w:t>A titre préalable, il s'impose de relever que l'impossibilité pour A._______ de mener durablement une vie familiale en Suisse ne résulte pas primairement de la mesure attaquée, mais découle du fait qu'il s'est vu refuser, par les autorités cantonales, l'octroi d'une autorisation de séjour en ce pays. Il s'ensuit que l'appréciation de la situation du prénommé susceptible d'être opérée sous l'angle de l'art. 8 CEDH dans le cadre de la présente procédure ne vise qu'à examiner si l'interdiction d'entrée complique de façon disproportionnée le maintien des relations familiales de l'intéressé avec sa famille domiciliée en Suisse.</w:t>
      </w:r>
    </w:p>
    <w:p>
      <w:r>
        <w:rPr>
          <w:b/>
        </w:rPr>
        <w:t>E. 4.5.2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w:t>
      </w:r>
    </w:p>
    <w:p>
      <w:r>
        <w:rPr>
          <w:b/>
        </w:rPr>
        <w:t>E. 4.5.3</w:t>
      </w:r>
    </w:p>
    <w:p>
      <w:r>
        <w:t>D'après la jurisprudence, les relations familiales qui peuvent fonder, en vertu de l'art. 8 par. 1 CEDH, un droit à une autorisation de police des étrangers sont avant tout les rapports entre époux ainsi qu'entre parents et enfants mineurs vivant ensemble (ATF 135 I 143 consid. 1.3.2). L'art. 13 al. 1 Cst. garantit la même protection (ATF 129 II 215 consid. 4.2). Sous réserve de circonstances particulières, les fiancés ou les concubins ne sont toutefois pas habilités à invoquer l'art. 8 CEDH (cf. arrêt du Tribunal fédéral 2C_706/2008 du 13 octobre 2008 consid. 2.2).</w:t>
      </w:r>
    </w:p>
    <w:p>
      <w:r>
        <w:rPr>
          <w:b/>
        </w:rPr>
        <w:t>E. 4.5.4</w:t>
      </w:r>
    </w:p>
    <w:p>
      <w:r>
        <w:t>In casu, il n'est point nécessaire de trancher définitivement la question de savoir si la décision entreprise porte atteinte à la vie privée et familiale du recourant, au sens de la disposition conventionnelle précitée. En effet, même si l'on devait admettre qu'une telle atteinte résulte de la décision entreprise, il n'en demeure pas moins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 vu de la gravité des actes pour lesquels A._______ a été sanctionné pénalement durant son séjour dans le canton de Fribourg, force est d'admettre que l'intérêt public à son éloignement de Suisse prévaut manifestement sur l'intérêt privé contraire à pouvoir entretenir des relations familiales sur le territoire de ce pays. Partant, la décision d'interdiction d'entrée prise à l'encontre du recourant le 17 janvier 2013 apparaît comme justifiée également au regard de cette disposition conventionnelle et de la jurisprudence en la matière.</w:t>
      </w:r>
    </w:p>
    <w:p>
      <w:r>
        <w:rPr>
          <w:b/>
        </w:rPr>
        <w:t>E. 4.5.5</w:t>
      </w:r>
    </w:p>
    <w:p>
      <w:r>
        <w:t>Certes, l'intéressé fait valoir que sa situation est comparable à celle, analysée par la CourEDH dans la cause Udeh c. Suisse du 16 avril 2013 (no 12020/09). A ce sujet, le Tribunal relève tout d'abord que cette référence ne lui est d'aucun secours. D'une part, cet arrêt ne constitue pas un arrêt de principe et, d'autre part, sa portée été fortement relativisée par le TF (ATF 139 I 325 consid. 2.4; arrêt 2C_406/2013 du 23 septembre 2013, consid. 4.5). Sur le fond, le Tribunal observe ensuite qu'à la différence de l'intéressé, Kinsley Chike Udeh se prévalait de ses liens étroits, d'une part, avec ses filles jumelles issues d'un précédent mariage, Suissesses par leur mère, et d'autre part, avec sa troisième fille et la mère de celle-ci, également toutes deux Suissesses, et auprès desquelles il avait refait sa vie. Or, en raison de la nationalité suisse des enfants et de l'absence pour ces dernières de tout lien avec le Nigéria, la CourEDH a estimé que le maintien des relations affectives entre Kinsley Chike Udeh et ses enfants n'était pas garanti, ce qui n'est pas le cas dans la présente affaire. En effet, l'intéressé perd de vue que ses relations avec sa femme et ses enfants peuvent être garanties dans leur pays d'origine, où lui-même séjourne actuellement, dès lors qu'ils partagent la même nationalité. Certes, l'épouse de l'intéressé a déclaré que ce dernier n'avait ni logement ni travail au Kosovo, mais force est de constater qu'il ne s'agit en l'occurrence que d'allégations, qui n'ont pas été étayées.</w:t>
      </w:r>
    </w:p>
    <w:p>
      <w:r>
        <w:rPr>
          <w:b/>
        </w:rPr>
        <w:t>E. 4.5.6</w:t>
      </w:r>
    </w:p>
    <w:p>
      <w:r>
        <w:t>Quant à l'arrêt rendu par le TF, également cité par l'intéressé, (publié sous ATF 139 I 145), il n'est pas davantage applicable au cas d'espèce. En effet, force est de constater que la situation analysée dans cet arrêt porte sur les conditions auxquelles le recourant peut poursuivre son séjour en Suisse lorsqu'il existe des motifs de révocation de son autorisation de séjour alors que dans le cas d'espèce, il y a lieu d'examiner si le maintien de la mesure d'éloignement de Suisse prononcée à l'encontre de l'intéressé est justifiée. A cela s'ajoute le fait que dans le cas examiné par le Tribunal fédéral, le recourant a pu bénéficier du fait que son épouse était de nationalité suisse et qu'elle n'avait jamais vécu en Afghanistan, pays dont il était originaire. Enfin, contrairement au présent cas, le recourant n'avait pas fait l'objet d'autres condamnations, la récidive constituant en effet un facteur aggravant dans l'examen de la mise en danger de l'ordre et de la sécurité publics.</w:t>
      </w:r>
    </w:p>
    <w:p>
      <w:r>
        <w:rPr>
          <w:b/>
        </w:rPr>
        <w:t>E. 5</w:t>
      </w:r>
    </w:p>
    <w:p>
      <w:r>
        <w:t>Il convient encore d'examiner si la mesure d'éloignement prise par le SEM satisfait aux principes de proportionnalité et d'égalité de traitement.</w:t>
      </w:r>
    </w:p>
    <w:p>
      <w:r>
        <w:rPr>
          <w:b/>
        </w:rPr>
        <w:t>E. 5.1</w:t>
      </w:r>
    </w:p>
    <w:p>
      <w:r>
        <w:t>Lorsque l'autorité administrative prononce une interdiction d'entrée, elle doit en effet respecter les principes susmentionnés et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 cf. également la doctrine citée ci-dessus).</w:t>
      </w:r>
    </w:p>
    <w:p>
      <w:r>
        <w:rPr>
          <w:b/>
        </w:rPr>
        <w:t>E. 5.2</w:t>
      </w:r>
    </w:p>
    <w:p>
      <w:r>
        <w:t>S'agissant de l'intérêt privé du recourant à pouvoir entrer en Suisse, il apparaît que celui-ci peut se prévaloir d'attaches familiales en ce pays, où résident en particulier son épouse et leurs trois enfants. En ce qui concerne l'intérêt public, il est à noter que les actes pour lesquels l'intéressé a été condamné en Suisse sont graves et justifient une intervention ferme des autorités. A cet égard, il suffit de relever que le TF, dans son arrêt 2C_516/2012 du 17 octobre 2012, a déjà eu l'occasion de se prononcer de manière circonstanciée sur la pesée des intérêts en présence et sur l'examen de la proportionnalité (cf. consid. 2), confirmant au demeurant entièrement l'analyse effectuée sur ces mêmes questions par le Tribunal cantonal dans son arrêt du 25 avril 2012. Même si cette pesée des intérêts a été effectuée dans le contexte du recours en matière de révocation de l'autorisation de séjour, les éléments pris en considération et le résultat n'en gardent pas moins toute leur pertinence, mutatis mutandis, par rapport à la mesure d'éloignement prononcée le 17 janvier 2013, de sorte qu'il suffit de renvoyer le recourant au considérant pertinent de cet arrêt, respectivement aux considérants de l'arrêt cantonal (en particulier consid. 3 et 4).</w:t>
      </w:r>
    </w:p>
    <w:p>
      <w:r>
        <w:rPr>
          <w:b/>
        </w:rPr>
        <w:t>E. 5.3</w:t>
      </w:r>
    </w:p>
    <w:p>
      <w:r>
        <w:t>Il est vrai que la mesure prononcée par l'ODM (act. SEM) peut sembler tardive, puisqu'elle est intervenue en 2013, soit 11 ans après l'interpellation de l'intéressé et un peu plus de quatre ans après le prononcé de libération conditionnelle. Sous cet angle, l'épouse du recourant a fait part de son incompréhension, dès lors que son époux n'aurait depuis plus récidivé et qu'ainsi, il ne saurait encore constituer un danger pour la société (cf. par exemple courrier du 22 octobre 2014, adressé à l'ODM [act. SEM] et transmis en copie pour information au présent Tribunal). Il convient toutefois de rappeler que les autorités de police des étrangers sont fondées à prendre des mesures d'expulsion en s'appuyant sur les mêmes faits délictueux qui ont déjà été pris en considération par le juge pénal (arrêts 2C_459/2013 du 21 octobre 2013 consid. 4; 2C_282/2012 du 31 juillet 2012 consid. 2.6; 2C_432/2011 du 13 octobre 2011 consid. 3.3). Selon la jurisprudence, il convient en effet d'apprécier le risque de récidive de manière rigoureuse, lorsque les faits reprochés sont graves (cf. ATF 136 II 5 consid. 5.2; cf. également arrêt du TF 2C_42/2007 du 30 novembre 2007 consid. 4.3). Le degré de certitude quant à l'évolution positive de l'intéressé doit ainsi être d'autant plus élevé que le risque à prendre en considération est important. Or, le bien juridique lésé par A._______ (la santé, voire la vie de plusieurs personnes) est extrêmement important et la société ne peut s'accommoder en ce domaine d'un risque non négligeable de récidive (cf. arrêt TAF C-6835/2011 du 28 février 2013 consid. 4.3 in fine). Par ailleurs, comme déjà constaté, la nature du délit pour lequel l'intéressé a été condamné en 2005 constitue une atteinte grave aux biens juridiquement protégés que sont la santé et la vie. En outre, s'il est vrai que l'intéressé s'est bien comporté durant la période faisant suite à sa remise en liberté (après 475 jours de détention préventive et son incarcération après le prononcé définitif du jugement), puis, après avoir bénéficié d'une libération conditionnelle, force est de constater cependant qu'un tel comportement pouvait et devait logiquement être attendu de sa part, puisqu'en cas de non-respect des obligations liées à sa mise en liberté, il aurait vu celle-ci remise en question. En définitive, l'intéressé n'a observé un comportement adéquat, en dehors de toute contrainte judiciaire, que depuis la fin de la période probatoire assortie à sa libération conditionnelle, soit depuis le 11 mars 2010 (cf. lettre J ci-dessus). Dans ces circonstances, force est de constater que le temps écoulé depuis la fin de la détention de l'intéressé n'est pas suffisant pour justifier une reconsidération du contenu de la décision prononcée le 17 janvier 2013 par l'ODM (act. SEM) (cf. également consid. 2.4.3 de l'arrêt du TF 2C_516/2012).</w:t>
      </w:r>
    </w:p>
    <w:p>
      <w:r>
        <w:rPr>
          <w:b/>
        </w:rPr>
        <w:t>E. 5.4</w:t>
      </w:r>
    </w:p>
    <w:p>
      <w:r>
        <w:t>Au vu de l'ensemble des éléments objectifs et subjectifs de la cause, le Tribunal estime ainsi que l'interdiction d'entrée en Suisse prononcée le 17 janvier 2013 par l'autorité intimée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6</w:t>
      </w:r>
    </w:p>
    <w:p>
      <w:r>
        <w:t>L'ODM (act. SEM) a ordonné en outre l'inscription de l'interdiction d'entrée dans le SIS II. Au vu des condamnations pénales dont A._______ a fait l'objet, son signalement est parfaitement justifié (art. 21 du règlement SIS II).</w:t>
      </w:r>
    </w:p>
    <w:p>
      <w:r>
        <w:rPr>
          <w:b/>
        </w:rPr>
        <w:t>E. 7</w:t>
      </w:r>
    </w:p>
    <w:p>
      <w:r>
        <w:t>Il ressort de ce qui précède que la décision dont est recours est conforme au droit (art. 49 PA). Le recours est en conséquence rejeté dans la mesure où il est recevable.</w:t>
      </w:r>
    </w:p>
    <w:p>
      <w:r>
        <w:rPr>
          <w:b/>
        </w:rPr>
        <w:t>E. 8</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au bénéfice de l'assistance judiciaire totale, il y est renoncé. Par ailleurs, le Service financier du Tribunal allouera un montant total de 2000 francs à titre de frais et honoraires d'avocat en application de l'art. 65 al. 3 PA. Au vu des pièces au dossier, représentatives du travail effectué par les deux mandataires successifs de l'intéressé, il convient d'allouer l'entier de cette somme à Maître Jacques Bonfils. En ce qui concerne Me Franklin Sedaj, on peut se demander si, au vu des dispositions de la LLCA (loi sur la libre circulation des avocats; RS. 35.61), ce dernier remplissait les conditions pour être nommé avocat d'office. Cette question peut cependant rester ouverte en l'espèce, dès lors que les interventions de Maître Franklin Sedaj, à partir du moment où il a été institué comme avocat d'office dans la présente procédure, ne sauraient amener au versement d'honoraires, vu que ce dernier mandataire est intervenu tardivement dans la présente procédure et que ses interventions ont consisté à réitérer une argumentation juridique déjà connue et invoquée par le premier mandataire. En application de l'art. 65 al. 4 PA, l'attention de A._______ est formellement attirée sur le fait que s'il devait revenir à meilleure fortune, il sera tenu de rembourser ce montant.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