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C-2842/2017 vom 10. Juli 2019</w:t>
      </w:r>
    </w:p>
    <w:p>
      <w:r>
        <w:t>Bundesverwaltungsgericht, 2019-07-10, DE</w:t>
      </w:r>
    </w:p>
    <w:p>
      <w:r>
        <w:rPr>
          <w:b/>
        </w:rPr>
        <w:t xml:space="preserve">Quelle: </w:t>
      </w:r>
      <w:r>
        <w:t>https://mcp.opencaselaw.ch/entscheid/bvger_C-2842_2017</w:t>
      </w:r>
    </w:p>
    <w:p>
      <w:r>
        <w:t>FR: TAF C-2842/2017 du 10 juillet 2019</w:t>
      </w:r>
    </w:p>
    <w:p>
      <w:r>
        <w:t>IT: TAF C-2842/2017 del 10 luglio 2019</w:t>
      </w:r>
    </w:p>
    <w:p>
      <w:pPr>
        <w:pStyle w:val="Heading2"/>
      </w:pPr>
      <w:r>
        <w:t>Regeste</w:t>
      </w:r>
    </w:p>
    <w:p>
      <w:r>
        <w:t>Invalidenversicherung (Übriges)</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des Verwaltungsgerichtsgesetzes vom 17. Juni 2005 (VGG, SR 173.32) beurteilt das Bundesverwaltungsgericht Beschwerden gegen Verfügungen nach Art. 5 VwVG. Zu den anfechtbaren Verfügungen gehören jene der IVSTA, welche eine Vorinstanz des Bundesverwaltungsgerichts darstellt (Art. 33 lit. d VGG; vgl. auch Art. 69 Abs. 1 lit. b des Bundesgesetzes vom 19. Juni 1959 über die Invalidenversicherung [IVG, SR 831.20]). Eine Ausnahme, was das Sachgebiet angeht, ist vorliegend nicht gegeben (Art. 32 VGG).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Zum Antrag auf unentgeltliche Rechtspflege wird auf E. 7.1 verwiesen. Da die Beschwerde im Übrigen frist- und formgerecht eingereicht worden ist (Art. 60 ATSG und Art. 52 VwVG), ist darauf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besitzt die deutsche Staatsbürgerschaft und wohnt in Deutschland. Damit gelangen das Freizügigkeitsabkommen vom 21. Juni 1999 (FZA, SR 0.142.112.681, in Kraft getreten am 1. Juni 2002) und die Regelwerke der Gemeinschaft zur Koordinierung der Systeme der sozialen Sicherheit gemäss Anhang II des FZA zur Anwendung. Die Prüfung der Rückerstattung unrechtmässig bezogener Leistungen im Zusammenhang mit dem Rentenanspruch bestimmt sich auch nach dem Inkrafttreten des FZA nach schweizerischem Recht (vgl. BGE 130 V 253 E. 2.4).</w:t>
      </w:r>
    </w:p>
    <w:p>
      <w:r>
        <w:rPr>
          <w:b/>
        </w:rPr>
        <w:t>E. 3.2</w:t>
      </w:r>
    </w:p>
    <w:p>
      <w:r>
        <w:t>Anfechtungsgegenstand und damit Grenze der Überprüfungsbefugnis im Beschwerdeverfahren werden grundsätzlich durch die Verfügung im Verwaltungsverfahren bestimmt (BGE 133 II 30; BGE 122 V 36 E. 2a). Vorliegend bildet die den Vorbescheid der Vorinstanz vom 10. Januar 2017 (IV-act. 124) bestätigende Verfügung vom 3. April 2017 (IV-act. 130), mit welcher die Vorinstanz die Rückerstattung der im Zeitraum von Juli 2008 bis Februar 2012 zu viel bezogenen Rentenleistungen von Fr. 66'046.- fordert, das Anfechtungsobjekt.</w:t>
      </w:r>
    </w:p>
    <w:p>
      <w:r>
        <w:rPr>
          <w:b/>
        </w:rPr>
        <w:t>E. 4</w:t>
      </w:r>
    </w:p>
    <w:p>
      <w:r>
        <w:t>Im vorliegenden Verfahren ist sowohl die Rechtmässigkeit als auch die Höhe der Rückforderung der zu viel ausgerichteten Rentenleistungen unbestritten. Strittig ist hingegen, ob die Vorinstanz ihren Anspruch rechtzeitig geltend gemacht hat. Zu prüfen bleibt somit die Frage, ob die Rückforderung der zu viel bezahlten Renten verwirkt ist.</w:t>
      </w:r>
    </w:p>
    <w:p>
      <w:r>
        <w:rPr>
          <w:b/>
        </w:rPr>
        <w:t>E. 4.1</w:t>
      </w:r>
    </w:p>
    <w:p>
      <w:r>
        <w:t>Unrechtmässig bezogene Leistungen sind zurückzuerstatten. Wer Leistungen in gutem Glauben empfangen hat, muss sie nicht zurückerstatten, wenn eine grosse Härte vorliegt (Art. 25 Abs. 1 ATSG).</w:t>
      </w:r>
    </w:p>
    <w:p>
      <w:r>
        <w:rPr>
          <w:b/>
        </w:rPr>
        <w:t>E. 4.1.1</w:t>
      </w:r>
    </w:p>
    <w:p>
      <w:r>
        <w:t>Gemäss Art. 25 Abs. 2 Satz 1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mit Hinweisen).</w:t>
      </w:r>
    </w:p>
    <w:p>
      <w:r>
        <w:rPr>
          <w:b/>
        </w:rPr>
        <w:t>E. 4.1.2</w:t>
      </w:r>
    </w:p>
    <w:p>
      <w:r>
        <w:t>Nach der Rechtsprechung ist für den Beginn der relativen einjährigen Verwirkungsfrist (BGE 133 V 579 E. 4.1) nicht das erstmalige unrichtige Handeln und die daran anknüpfende unrechtmässige Leistungsausrichtung massgebend. Abzustellen ist vielmehr auf jenen Tag, an dem der Versicherungsträger später bei der ihm gebotenen und zumutbaren Aufmerksamkeit den Fehler und das Vorhandensein der Voraussetzungen für eine Rückerstattung hätte erkennen können oder erkannt hat ("Wahrnehmung der Unrichtigkeit der Leistungsausrichtung aufgrund eines zusätzlichen Indizes"; BGE 122 V 270 E. 5b/aa S. 276; vgl. auch BGE 140 V 521 E. 2.1 S. 525; 139 V 6 E. 4.1 S. 8). Dies ist der Fall, wenn alle im konkreten Einzelfall erheblichen Umstände zugänglich sind, aus deren Kenntnis sich der Rückforderungsanspruch dem Grundsatz nach und in seinem Ausmass gegenüber einer bestimmten rückerstattungspflichtigen Person ergibt (Urteil 9C_195/2014 vom 3. September 2014 E. 2.1 mit Hinweisen). Verfügt der Versicherungsträger (oder das Durchführungsorgan) über genügende Hinweise auf einen möglichen Rückforderungsanspruch, sind die Unterlagen aber noch unvollständig, hat er die zusätzlich erforderlichen Abklärungen innert angemessener Zeit vorzunehmen. Bei Säumnis ist der Beginn der Verwirkungsfrist auf den Zeitpunkt festzusetzen, in welchem die Verwaltung mit zumutbarem Einsatz ihre unvollständige Kenntnis so zu ergänzen imstande gewesen wäre, dass der Rückforderungsanspruch hätte geltend gemacht werden können (Urteil 8C_90/2018 vom 13. August 2018 E. 4.4 mit Hinweisen).</w:t>
      </w:r>
    </w:p>
    <w:p>
      <w:r>
        <w:rPr>
          <w:b/>
        </w:rPr>
        <w:t>E. 4.1.3</w:t>
      </w:r>
    </w:p>
    <w:p>
      <w:r>
        <w:t>Die Rückforderung ist rechtsprechungsgemäss nicht auf rechtskräftig festgelegte Leistungen beschränkt (Urteil 8C_580/2018 vom 9. Januar 2019 E. 4.2). Spricht die IV-Stelle eine Rente zu und richtet Leistungen aus, bevor die betreffende Verfügung rechtskräftig geworden ist, beginnt im Falle eines gerichtlich festgestellten zusätzlichen Abklärungsbedarfs die relative einjährige Verwirkungsfrist von Art. 25 Abs. 2 ATSG für die Geltendmachung des Rückforderungsanspruchs frühestens zu laufen, wenn sie um das definitive Ergebnis der Abklärungen weiss, auf denen der das Renten(streit)verfahren abschliessende Entscheid beruht (Urteil 8C_166/2015 vom 5. Juni 2015 E. 4.1 mit Hinweisen). Entscheidend für die Frage, in welchem Zeitpunkt die Verwaltung Kenntnis über Bestand und Umfang des Rückforderungsanspruchs haben muss, sind stets die jeweiligen Umstände im Einzelfall. Insbesondere hat die IV-Stelle nicht bereits dann fristauslösende Kenntnis, wenn sie im Zeitpunkt des Rückweisungsentscheids mit der Möglichkeit rechnen muss, dass sich je nach Abklärungsergebnis eine Änderung zuungunsten der versicherten Person in Bezug auf den Rentenanspruch an sich oder dessen Umfang ergeben könnte (Urteil 9C_195/2014 vom 3. September 2014 E. 4.2).</w:t>
      </w:r>
    </w:p>
    <w:p>
      <w:r>
        <w:rPr>
          <w:b/>
        </w:rPr>
        <w:t>E. 4.2</w:t>
      </w:r>
    </w:p>
    <w:p>
      <w:r>
        <w:t>Der Beschwerdeführer ist der Auffassung, die relative einjährige Verwirkungsfrist habe am 30. November 2011 zu laufen begonnen. Die jetzige Rückforderung basiere nämlich auf dem verfahrensabschliessenden Entscheid C-2088/2013 vom 7. Mai 2015, in welchem das Bundesverwaltungsgericht das SMAB-Gutachten vom 28. November 2011 als beweiskräftig erachtet habe. Die IV-Stelle habe von diesem Gutachten spätestens am 30. November 2011 Kenntnis erhalten, da es am 28. November 2011 versendet worden sei. Somit habe die Frist von Art. 25 Abs. 2 ATSG am 30. November 2012 geendet. Die Rückforderung sei erst mit Verfügung vom 25. Februar 2013, also nach Ablauf der einjährigen Frist, angeordnet worden. Sie sei verspätet erfolgt.</w:t>
      </w:r>
    </w:p>
    <w:p>
      <w:r>
        <w:rPr>
          <w:b/>
        </w:rPr>
        <w:t>E. 4.2.1</w:t>
      </w:r>
    </w:p>
    <w:p>
      <w:r>
        <w:t>Vorliegend hat die Vorinstanz basierend auf das SMAB-Gutachten vom 28. November 2011 dem Versicherten mit Vorbescheid vom 5. Juni 2012 die Abweisung des Rentenbegehrens in Aussicht gestellt. Nachdem der Versicherte am 15. August 2012 seine Einwände vorgebracht hatte, veranlasste die Vorinstanz weitere medizinische Abklärungen (vgl. Urteil vom 7. Mai 2015, Sachverhalt Ziff. C [IV-act. 105, S. 2). Diese erachtete sie als notwendig, um hinreichenden Aufschluss über den Gesundheitszustand des Beschwerdeführers hinsichtlich eines Anspruchs auf eine Invalidenrente zu erlangen. Der Gesundheitszustand des Beschwerdeführers war der IV-Stelle somit nicht bereits nach Einsicht in das SMAB-Gutachten bekannt, denn dieses allein genügte ihr zur Beurteilung des Rentenanspruchs nicht. Somit begann die einjährige Verwirkungsfrist für die Rückforderung entgegen der Ansicht des Beschwerdeführers nicht bereits mit der Kenntnisnahme des SMAB-Gutachten vom 28. November 2011 zu laufen. Es ist mithin zu klären, wann diese Frist zu laufen begonnen hat.</w:t>
      </w:r>
    </w:p>
    <w:p>
      <w:r>
        <w:rPr>
          <w:b/>
        </w:rPr>
        <w:t>E. 4.2.2</w:t>
      </w:r>
    </w:p>
    <w:p>
      <w:r>
        <w:t>Die Vorinstanz wies das Leistungsbegehren des Versicherten am 20. Februar 2013 ab und verfügte am 25. Februar 2013 über die Rückerstattung der seit 1. Juli 2008 ausgerichteten Renten. Zu diesem Zeitpunkt fiel bezüglich der zwar nicht rechtskräftig zugesprochenen, aber dennoch (zum Teil) zu Unrecht erbrachten Rentenzahlungen einzig der Beschwerdeführer als rückerstattungspflichtige Person in Betracht; die Höhe der Rückerstattungsforderung war in diesem Entscheid auf Fr. 105'380.- beziffert worden; die Vorinstanz hatte jedoch zum Zeitpunkt des Verfügungserlasses am 25. Februar 2013 weder eine definitive Gewissheit bezüglich der Rückerstattungspflicht als solcher, noch über die Höhe des zurückzuerstattenden Betrags, denn der Beschwerdeführer focht die rentenabweisende Verfügung vom 20. Februar 2013 beim Bundesverwaltungsgericht an und verlangte die Ausrichtung einer ganzen Rente. Somit stand das Abklärungsergebnis zu diesem Zeitpunkt noch nicht definitiv fest, sondern befand sich in der Schwebe. Der Lauf der Verwirkungsfrist nach Art. 25 Abs. 2 ATSG konnte deshalb nicht bereits in diesem Moment einsetzen.</w:t>
      </w:r>
    </w:p>
    <w:p>
      <w:r>
        <w:rPr>
          <w:b/>
        </w:rPr>
        <w:t>E. 4.2.3</w:t>
      </w:r>
    </w:p>
    <w:p>
      <w:r>
        <w:t>In der Folge überprüfte das Bundesverwaltungsgericht den Rentenanspruch umfassend, erachtete das SMAB-Gutachten als den beweisrechtlichen Anforderungen genügend und stellte mit reformatorischem Urteil vom 7. Mai 2015 (IV-act. 105) einen Anspruch des Beschwerdeführers auf eine Viertelrente von Juli 2008 bis November 2011 fest. Dagegen erhob der Versicherte am 10. Juni 2015 Beschwerde beim Bundesgericht und machte geltend, dass der Sachverhalt in Bezug auf die psychischen Beschwerdebilder (Depression) nach wie vor nicht ausreichend geklärt sei und das SMAB-Gutachten keine taugliche Entscheidungsgrundlage darstelle (act. 27, S. 8, 11 [C-2088/2013]). Aufgrund dieser Rügen musste die Vorinstanz mit der Möglichkeit einer Änderung des Rentenanspruchs rechnen. Die Rückerstattungspflicht war demnach zu diesem Zeitpunkt nicht gewiss. Erst nachdem das Bundesgericht am 21. Oktober 2015 auf die Beschwerde nicht eintrat und das Urteil vom 7. Mai 2015 in Rechtskraft erwachsen war, lag das definitive Ergebnis betreffend die Rückerstattung vor. Der Vorinstanz waren mit der Zustellung des Bundesgerichtsurteils alle erheblichen Umstände bekannt, aus denen sich der Rückforderungsanspruch ergab. Zu diesem Zeitpunkt begann somit die Verwirkungsfrist nach Art. 25 Abs. 2 ATSG zu laufen.</w:t>
      </w:r>
    </w:p>
    <w:p>
      <w:r>
        <w:rPr>
          <w:b/>
        </w:rPr>
        <w:t>E. 4.2.4</w:t>
      </w:r>
    </w:p>
    <w:p>
      <w:r>
        <w:t>Die Vorinstanz stellte, nachdem sie auf Basis des bundesverwaltungsgerichtlichen Urteils vom 7. Mai 2015 der SAK die Berechnung des Rückerstattungsbetrags in Auftrag gegeben (IV-act. 112) und am 22. Februar 2016 Kenntnis über dessen Höhe erhalten hatte (IV-act. 113), in ihrer Vernehmlassung vom 23. Februar 2016 - also innerhalb der einjährigen Verwirkungsfrist - den Antrag auf Reduktion des bereits am 25. Februar 2013 verfügten Rückforderungsbetrags von Fr. 105'380.- auf Fr. 66'046.-, was praxisgemäss zulässig war. Dazu berechtigte sie die in Art. 53 Abs. 3 ATSG vorgesehene Möglichkeit der Wiedererwägung des Einspracheentscheides durch den Versicherungsträger bis zur Stellungnahme gegenüber der Beschwerdebehörde. Bereits damit wurde die einjährige Verwirkungsfrist gemäss Art. 25 Abs. 2 Satz 1 ATSG gewahrt. Nicht entscheidend für die Frage der Fristwahrung ist hingegen das Datum der am 3. April 2017 erlassenen Rückerstattungsverfügung, denn diese wurde erst im Rahmen des Beschwerdeverfahrens (C-2188/2013) nach einer Rückweisung der Sache an die Vorinstanz zur Durchführung eines formell richtigen Verfahrens erlassen (vgl. Sachverhalt B.e).</w:t>
      </w:r>
    </w:p>
    <w:p>
      <w:r>
        <w:rPr>
          <w:b/>
        </w:rPr>
        <w:t>E. 5</w:t>
      </w:r>
    </w:p>
    <w:p>
      <w:r>
        <w:t>Soweit der Beschwerdeführer geltend macht, die Vorinstanz könne die zu viel ausgerichteten Rentenleistungen aufgrund der unzulässigen reformatio in peius im Verfahren C-3202/2009 nun nicht mehr zurückfordern, kann er nicht gehört werden. Anfechtungsgegenstand im vorliegenden Verfahren ist die von der Vorinstanz verfügte Rückerstattung von Fr. 66'046.-, wobei das Bundesverwaltungsgericht einzig zu prüfen hat, ob die Vorinstanz ihren Rückforderungsanspruch rechtzeitig geltend gemacht hat (vgl. E. 3.2). Es liegt nicht an ihm, das unangefochten gebliebene und rechtskräftig gewordene Urteil vom 3. März 2011 auf etwaige Verfahrensmängel zu untersuchen und über dessen Rechtmässigkeit zu befinden. Ausserdem hat sich das Bundesverwaltungsgericht bereits im Urteil vom 7. Mai 2015 im Verfahren C-2088/2013 (IV-act. 105 E. 11.3, S. 31) mit der gerügten Unzulässigkeit der reformatio in peius auseinandergesetzt. Auf die diesbezüglichen Rügen und Ausführungen des Beschwerdeführers ist deshalb im vorliegenden Verfahren nicht weiter einzugehen. Ebenfalls ist vorliegend die Frage eines allfälligen Erlasses der Rückforderung mangels Anfechtungsgegenstand nicht zu beantworten (vgl. E. 3.2).</w:t>
      </w:r>
    </w:p>
    <w:p>
      <w:r>
        <w:rPr>
          <w:b/>
        </w:rPr>
        <w:t>E. 6</w:t>
      </w:r>
    </w:p>
    <w:p>
      <w:r>
        <w:t>Nach dem vorstehend Dargelegten ist die angefochtene Verfügung vom 3. April 2017 nicht zu beanstanden. Die Beschwerde vom 18. Mai 2017 ist als unbegründet abzuweisen, soweit darauf einzutreten ist.</w:t>
      </w:r>
    </w:p>
    <w:p>
      <w:r>
        <w:rPr>
          <w:b/>
        </w:rPr>
        <w:t>E. 7</w:t>
      </w:r>
    </w:p>
    <w:p>
      <w:r>
        <w:t>Zu befinden bleibt über die Verfahrenskosten und eine allfällige Parteientschädigung. Dabei ist auf Art. 65 Abs. 4 VwVG hinzuweisen, wonach die begünstigte Partei der Gerichtskasse Ersatz zu leisten hat, wenn sie später zu hinreichenden Mitteln gelangt. Dem Beschwerdeführer ist mit Zwischenverfügung vom 7. Juni 2017 (act. 3) die unentgeltliche Rechtspflege bewilligt worden, weshalb er auf diese Ersatzpflicht aufmerksam zu machen ist.</w:t>
      </w:r>
    </w:p>
    <w:p>
      <w:r>
        <w:rPr>
          <w:b/>
        </w:rPr>
        <w:t>E. 7.1</w:t>
      </w:r>
    </w:p>
    <w:p>
      <w:r>
        <w:t>Das Bundesverwaltungsgericht auferlegt gemäss Art. 63 Abs. 1 und Abs. 3 VwVG die Verfahrenskosten in der Regel der unterliegenden Partei. Nachdem das Bundesverwaltungsgericht mit Zwischenverfügung vom 30. August 2017 (act. 3) das Gesuch um Gewährung der unentgeltlichen Rechtspflege gutgeheissen hat, sind dem unterliegenden Beschwerdeführer keine Verfahrenskosten aufzuerlegen (Art. 65 Abs. 1 VwVG).</w:t>
      </w:r>
    </w:p>
    <w:p>
      <w:r>
        <w:rPr>
          <w:b/>
        </w:rPr>
        <w:t>E. 7.2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Die obsiegende Vorinstanz hat keinen Anspruch auf Parteientschädigung (Art. 7 Abs. 3 VGKE). Der Vertreter des unterliegenden Beschwerdeführers hat Anspruch auf ein amtliches Honorar. Da keine Kostennote eingereicht wurde, ist die Entschädigung aufgrund der Akten festzusetzen. Dazu ist festzuhalten, dass der Vertreter den Beschwerdeführer bereits seit 2007 in mehreren Verfahren vertritt (vgl. Beschwerdeverfahren C-8137/2007, C-3202/2009, C-2088/2013, C-2188/2013 und C-5620/2016) und mit dem Sachverhalt vertraut ist. Ausserdem war er (nicht im Beschwerdeverfahren zu entschädigenden) Vorbescheidverfahren tätig und konnte sich daher weitgehend auf die Vorakten stützen. Deshalb rechtfertigt sich - unter Berücksichtigung des Verfahrensausgangs, des gebotenen und aktenkundigen Aufwands und der Schwierigkeit des vorliegend zu beurteilenden Verfahrens - eine Parteientschädigung von pauschal Fr. 2'000.- (inkl. 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