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C-2836/2008 vom 17. August 2010</w:t>
      </w:r>
    </w:p>
    <w:p>
      <w:r>
        <w:t>Bundesverwaltungsgericht, 2010-08-17, FR</w:t>
      </w:r>
    </w:p>
    <w:p>
      <w:r>
        <w:rPr>
          <w:b/>
        </w:rPr>
        <w:t xml:space="preserve">Quelle: </w:t>
      </w:r>
      <w:r>
        <w:t>https://mcp.opencaselaw.ch/entscheid/bvger_C-2836_2008</w:t>
      </w:r>
    </w:p>
    <w:p>
      <w:r>
        <w:t>FR: TAF C-2836/2008 du 17 août 2010</w:t>
      </w:r>
    </w:p>
    <w:p>
      <w:r>
        <w:t>IT: TAF C-2836/2008 del 17 agosto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elle a partant qualité pour recourir.</w:t>
      </w:r>
    </w:p>
    <w:p>
      <w:r>
        <w:rPr>
          <w:b/>
        </w:rPr>
        <w:t>E. 2</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al. 1 let. a LAI).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Les principes dégagés par la jurisprudence quant aux notions d'incapacité de gain et d'invalidité conservent leur validité sous l'empire de la LPGA (ATF 130 V 343).</w:t>
      </w:r>
    </w:p>
    <w:p>
      <w:r>
        <w:rPr>
          <w:b/>
        </w:rPr>
        <w:t>E. 6</w:t>
      </w:r>
    </w:p>
    <w:p>
      <w:r>
        <w:t>S'agissant du droit matériel applicable, il convient encore de préciser qu'à partir du 1er janvier 2008,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w:t>
      </w:r>
    </w:p>
    <w:p>
      <w:r>
        <w:rPr>
          <w:b/>
        </w:rPr>
        <w:t>E. 7</w:t>
      </w:r>
    </w:p>
    <w:p>
      <w:r>
        <w:t>Le litige porte sur la suppression, par la voie de la révision, de la rente entière allouée à l'intéressée. 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 115 V 53, 114 V 285 consid. 3, 111 V 239 consid. 2a; 117 V 400, consid. 4b;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8</w:t>
      </w:r>
    </w:p>
    <w:p>
      <w:r>
        <w:t>L'assuré a droit à un quart de rente s'il est invalide à 40% au moins, à une demi-rente s'il est invalide à 50% au moins, à trois quarts de rente s'il est invalide à 60% au moins et à une rente entière s'il est invalide à 70% au moins (art. 28 al. 1 LAI, depuis la 4ème révision; art. 28 al. 2 LAI, depuis la 5ème révision ).</w:t>
      </w:r>
    </w:p>
    <w:p>
      <w:r>
        <w:rPr>
          <w:b/>
        </w:rPr>
        <w:t>E. 9</w:t>
      </w:r>
    </w:p>
    <w:p>
      <w:r>
        <w:t>La notion d'invalidité des art. 8 al. 1 LPGA et 4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w:t>
      </w:r>
    </w:p>
    <w:p>
      <w:r>
        <w:rPr>
          <w:b/>
        </w:rPr>
        <w:t>E. 10.1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349 consid. 3.5). 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ce n'est qu'exceptionnellement qu'elle prend effet rétroactivement.</w:t>
      </w:r>
    </w:p>
    <w:p>
      <w:r>
        <w:rPr>
          <w:b/>
        </w:rPr>
        <w:t>E. 11</w:t>
      </w:r>
    </w:p>
    <w:p>
      <w:r>
        <w:t>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(ATF 133 V 108 consid. 5.1). Une communication peut dans cette mesure valoir décision (cf. arrêt du Tribunal fédéral 9C_860/2008 du 19 février 2009 consid. 3.1). La jurisprudence concernant la reconsidération et la révision procédurale demeure toutefois réservée (ATF 133 V 108 consid. 5.4; ATF 130 V 71 consid. 3.2.3).</w:t>
      </w:r>
    </w:p>
    <w:p>
      <w:r>
        <w:rPr>
          <w:b/>
        </w:rPr>
        <w:t>E. 12.1</w:t>
      </w:r>
    </w:p>
    <w:p>
      <w:r>
        <w:t>En l'espèce, le Tribunal retient que c'est la communication du 2 juillet 1996 (pce 79) qui tient lieu de dernière décision entrée en force au sens rappelé ci-dessus. En effet, elle a clos une procédure de révision dans laquelle le droit à la rente de l'intéressée fut examiné de façon détaillée et complète (aspects somatique et psychique pris en compte). Tel ne fut pas le cas des procédures de révision suivantes ayant débuté en 1997, respectivement en 1999: l'aspect psychique de l'atteinte, déterminant (cf. infra), n'a notamment pas fait l'objet d'un examen détaillé - seuls sont mentionnés dans le rapport de révision du 15 février 2000, pce 105, des troubles psychiques provoqués par les douleurs, sans plus de précision quant à leur nature, leur intensité, voire même leur persistance encore au moment de l'examen (nulle mention dans la description de l'état actuel; on ignore aussi si l'auteur du rapport était psychiatre).</w:t>
      </w:r>
    </w:p>
    <w:p>
      <w:r>
        <w:rPr>
          <w:b/>
        </w:rPr>
        <w:t>E. 12.2</w:t>
      </w:r>
    </w:p>
    <w:p>
      <w:r>
        <w:t>Dans son rapport du 27 décembre 1994 (pce 66), le Dr B._______, neurochirurgien et médecin traitant de l'intéressée, faisait état d'un status après polytraumatisme du 13 février 1992 avec: fracture par tassement du mur antérieur de L3 avec troubles neurologiques dans le dermatome de L3 à gauche; fracture non-déplacée du plateau tibial externe gauche; facture de la branche ischio-pubienne droite et traumatisme vésical; status après opération du genou gauche le 27 janvier 1993; status après cure de hernies discales L4-L5 et L5-S1 gauches le 10 janvier 1990. La patiente émettait toujours les mêmes doléances après son séjour à la clinique J._______. Cliniquement, le praticien mentionnait une persistance d'un syndrome vertébral lombaire important et une mobilisation du genou gauche demeurant douloureuse. S'agissant de ce dernier, il convenait de s'adresser à un orthopédiste (cf. aussi rapport du 25 avril 1994, pce 60, où il indiquait n'avoir aucune proposition d'ordre neurochirurgical et renvoyait déjà à l'orthopédie). A cet égard, le Dr N._______, dans son rapport d'expertise du 12 avril 1996 (pce 75), mettait en avant l'évolution, depuis l'accident de 1992, vers un trouble de conversion hystérique recouvrant pratiquement tout le tableau des plaintes; s'il convenait de tenir compte des séquelles fonctionnelles et douloureuses concernant le rachis et le genou gauche (discret syndrome fibro-méningé lombaire inférieur, notamment; en revanche, la présence d'une algodystrophie est écartée [p. 2; cf. aussi expertise M._______, p. 17]), le praticien relevait toutefois à plusieurs reprises l'aspect mineur de celles-ci, avant de conclure que compte tenu des suites réelles de l'accident concernant les séquelles objectives, il ne subsistait pas d'incapacité de travail dans l'activité de vendeuse, mais que toutefois, en fonction de l'évolution psychologique l'intéressée n'était pas à même de reprendre une quelconque activité professionnelle, sans qu'il s'agisse des suites de l'accident. L'atteinte à l'intégrité subsistant selon la LAA était de 5% s'agissant de la fracture-tassement mineure du plateau supérieur de L3 et d'une éventuelle traumatisation d'un état cicatriciel pré-existant au niveau L4/S1 (douleurs minimes permanentes, même au repos, accentuées par les efforts); de 10% relativement au genou gauche, avec statut après fracture sans déplacement du plateau tibial externe et ostéotomie de varisation et de flexion du tibia avec plastie de suppléance du ligament croisé postérieur. Tout en écartant expressément toute simulation volontaire de la part de la patiente, le médecin ajoutait être défavorable à la poursuite d'un traitement médical (physique), qui ne pourrait qu'aggraver la somatisation. Le Dr N._______ rejoignait ainsi les conclusions de l'expertise Samitca. Le diagnostic posé par celle-ci était notamment le suivant: DSM-III-R: Axe I: troubles somatoformes douloureux (307.80), troubles de conversion (300.11); Axe II: traits de personnalité de type passif/agressif; grands besoins de passivité compensatoire; Axe V: importante dissociation entre la capacité médico-théorique de fonctionnement, et l'incapacité qu'elle affirme à fonctionner sur un plan ménager ou professionnel quelconque; selon le CIM 10 V F: Syndrome douloureux somatoforme persistant F 45.4; trouble dissociatif (de conversion) mixte F 44.7. Le médecin estimait que les troubles de la patiente étaient à 80% d'origine psychique (p. 22). Enfin, dans son analyse pour l'AI du 23 mai 1996 (pce 78), le Dr O._______ rejoint les conclusions du Dr M._______ quant au diagnostic (p. 2); il qualifie toutefois le trouble somatoforme douloureux de l'intéressée d'invalidant et estime qu'il justifie le maintien de la rente AI. Au vu de ce qui précède, le Tribunal de céans retient que c'est avant tout du fait de l'atteinte psychique que l'AI a maintenu le droit à une rente entière pour l'intéressée dans sa dernière décision matérielle entrée en force (communication du 2 juillet 1996; cf. à cet égard aussi pce 137 i.i et pce 156). Dit autrement, il ressort du dossier que l'assurance a alors considéré, implicitement tout au moins, que la problématique psychique influençait de manière prépondérante la capacité de travail de l'intéressée, alors que la symptomatologie douloureuse paraissait jouer un rôle accessoire dans sa situation médicale. Savoir si le degré d'invalidité a subi une modification doit donc être établi en comparant les faits tels qu'ils se présentaient alors et ceux qui ont existé jusqu'au 11 mars 2008, date de la décision objet du présent litige. Durant cette période soumise au pouvoir d'examen de l'autorité de céans, l'intéressée a indiqué n'avoir exercé aucune activité lucrative; l'éventuelle modification du taux d'invalidité devra être évaluée sur la base des données médicales obtenues (ATF 115 V 133, ATF 114 V 313s., ATF 105 V 159, ATF 98 V 173).</w:t>
      </w:r>
    </w:p>
    <w:p>
      <w:r>
        <w:rPr>
          <w:b/>
        </w:rPr>
        <w:t>E. 13.1</w:t>
      </w:r>
    </w:p>
    <w:p>
      <w:r>
        <w:t>Pour l'OAIE, la suppression de la rente se justifie d'abord du fait de l'amélioration consécutive à la disparition de toute pathologie psychiatrique relevante (cf. notamment réponse, p. 2, et duplique, avec les renvois aux pces y mentionnés). L'avocat de la recourante indique lui aussi qu'à ce jour, « les médecins considèrent que l'atteinte psychiatrique a effectivement complètement disparu (...) » (recours, p. 3; il ne conteste dans son recours et sa réplique que les allégués de l'OAIE relatifs à l'état somatique de sa cliente).</w:t>
      </w:r>
    </w:p>
    <w:p>
      <w:r>
        <w:rPr>
          <w:b/>
        </w:rPr>
        <w:t>E. 13.2</w:t>
      </w:r>
    </w:p>
    <w:p>
      <w:r>
        <w:t>Le Tribunal de céans ne saurait cependant, en l'état, rejoindre les parties sur ce point. En effet, il a été rappelé plus haut les exigences que doit remplir un rapport médical pour avoir pleine valeur probante, et en particulier qu'il est essentiel qu'il ait été établi en pleine connaissance de l'anamnèse et que la description du contexte médical ainsi que l'appréciation de la situation médicale soient claires (cf. supra, consid. 9 et ATF 125 V 352 consid. 3a et réf. cit.; également arrêt du Tribunal fédéral du 8 avril 2009 8C_924/2008 consid. 2.2 et 3.3). De plus, lorsque des plaintes somatiques sont également faites valoir, l'expert-psychiatre doit baser sa prise de position relative à la capacité de travail exigible sur l'ensemble de la documentation médicale, laquelle devra éclaircir préalablement l'importance des aspects somatiques (selon les circonstances, sur le plan rhumatologique, neurologique, orthopédique, interne); une prise de position d'ensemble relative à la capacité de travail sera à cet égard optimale si elle intervient dans le cadre d'une expertise multidisciplinaire après un consilium des experts à l'occasion duquel les résultats de chaque branche ont pu être discuté (cf. arrêt du Tribunal fédéral du 13 juillet 2004 I 87/04 consid. 3). En l'espèce, le contexte médical psychique ayant joué un rôle déterminant dans le maintien du droit à la rente en 1996, l'amélioration objective de la situation sur ce plan aurait dû être suffisamment étayée, ce qui n'est pas le cas en l'espèce. L'OAIE se base en effet à cet égard exclusivement sur l'expertise psychiatrique V._______ (pce 132), selon laquelle il n'existe en l'état actuel aucune pathologie psychiatrique susceptible d'être évaluée. Pour le Tribunal, cette expertise est toutefois trop sommaire, respectivement lacunaire pour que sa valeur probante soit suffisante ici. Le praticien V._______ indique en effet qu'outre ses observations, la seule source d'information dont il a disposé pour établir son rapport furent les indications données par l'intéressée elle-même, dont on ne saurait attendre qu'elle possédât les compétences appropriées pour rappeler et expliciter les diagnostics qui furent retenus quant à son atteinte psychique antérieurement, notamment. Ce d'autant moins que la perception qu'a eue la patiente de son état de santé n'apparaît pas être celle des médecins s'étant prononcés auparavant puisqu'elle semble ramener son atteinte psychique à une crise nerveuse dans les mois qui suivirent l'accident de 1992, crise qui se serait résorbée ensuite d'un traitement dont elle ne se souvient pas, d'une part, et qu'elle n'a jamais paru rattacher ses plaintes organiques à une affection (en tout ou de façon mixte) d'origine psychique et non purement somatique. C'est pourtant manifestement sur la base de ses seules indications que le Dr V._______ a retenu que la patiente a souffert d'un épisode dépressif sans symptôme psychotique, secondaire à des problèmes physiques et qui s'est entre-temps modéré et a connu une évolution favorable. Dès lors que le Dr V._______ ne disposait pas de la documentation médicale figurant au dossier (anamnèse) et notamment ignorait les diagnostics posés précédemment, l'on ne saurait considérer qu'il a procédé à une comparaison des situations médicales déterminantes suffisante pour établir une amélioration objective de l'état de santé de l'intéressée du fait d'une évolution clinique favorable de la symptomatologie psychiatrique mise en évidence par les expertises précédentes et sur la base desquelles l'OAIE avait estimé justifié le maintien de la rente. Si le praticien pouvait, en soi, retenir un autre diagnostic (« épisode dépressif sans symptôme psychotique, secondaire à des problèmes physiques ») que ceux posés antérieurement, et relier une amélioration de l'état de santé à la disparition actuellement de cet épisode et à l'absence de toute autre atteinte psychique relevante, il devait cependant expliquer, motiver suffisamment pourquoi il s'écartait des diagnostics retenus par ses prédécesseurs et démontrer de façon convaincante que ceux-ci ne sauraient en tout état de cause plus être posés actuellement. Tel ne pouvait être le cas ici, du fait notamment de l'ignorance de l'anamnèse de la patiente (y compris sur le plan somatique) dans laquelle il se trouvait. Cela est d'autant plus insatisfaisant que pour le maintien de la rente en 1996 fut en particulier prise en compte l'existence d'un trouble somatoforme persistant. Or, ainsi que dit, il n'en est fait aucune mention dans le rapport V._______; le médecin se borne à conseiller que les plaintes organiques que lui a rapportées la patiente fassent l'objet d'une autre expertise. Il paraît ainsi évident qu'il n'a pas pu disposer d'une documentation relative à la problématique somatique (avec notamment la pose de diagnostics et des conclusions motivées quant à la capacité de travail), voire d'une discussion avec d'autres spécialistes, de sorte que l'on ignore sur quelle base il a pu exclure (implicitement) que ces plaintes fassent partie de la symptomatologie propre au trouble somatoforme et suggérer dès lors, indirectement, qu'elles relèveraient d'une atteinte somatique indépendante.</w:t>
      </w:r>
    </w:p>
    <w:p>
      <w:r>
        <w:rPr>
          <w:b/>
        </w:rPr>
        <w:t>E. 13.3</w:t>
      </w:r>
    </w:p>
    <w:p>
      <w:r>
        <w:t>Au vu de ce qui précède, force est pour le Tribunal de constater qu'à défaut de reposer sur une évaluation médicale suffisamment étayée, les conclusions de l'OAIE relatives à une amélioration de l'état psychique de l'intéressée du fait de l'absence actuellement de toute atteinte sur ce plan apparaissent inexactes. Dites conclusions sont en effet basées sur le rapport du Dr V._______, analyse médicale incomplète et insuffisante à laquelle ne peut être attribuée une pleine valeur probante, qui plus est dans le cadre d'une révision.</w:t>
      </w:r>
    </w:p>
    <w:p>
      <w:r>
        <w:rPr>
          <w:b/>
        </w:rPr>
        <w:t>E. 14.1</w:t>
      </w:r>
    </w:p>
    <w:p>
      <w:r>
        <w:t>Partant, le recours doit être partiellement admis en ce sens que la décision attaquée sera annulée et la cause renvoyée à l'autorité intimée pour qu'elle prenne une nouvelle décision après avoir procédé à une instruction complémentaire. Au vu des circonstances du cas d'espèce, cette solution s'impose malgré son caractère exceptionnel (cf. art. 61 PA); en effet, les informations manquantes sont indispensables à la résolution du cas.</w:t>
      </w:r>
    </w:p>
    <w:p>
      <w:r>
        <w:rPr>
          <w:b/>
        </w:rPr>
        <w:t>E. 14.2</w:t>
      </w:r>
    </w:p>
    <w:p>
      <w:r>
        <w:t>Par conséquent, l'OAIE mettra en ?uvre une expertise médicale en Suisse, par exemple auprès d'un service psychiatrique universitaire pour adultes en Suisse romande. Les experts se prononceront notamment sur l'évolution et l'état actuel de la pathologie psychique de l'intéressée (comparaison circonstanciée des situations passée et actuelle); ils, respectivement l'OAIE, décideront aussi de l'opportunité de plus amples investigations dans d'autres domaines spécifiques en rapport avec toutes les pathologies présentes (éventuellement en rhumatologie, orthopédie, neurologie, etc.). Les examens complémentaires jugés utiles devront être programmés de sorte à pouvoir être effectués dans le cadre de l'expertise qui prendra alors ainsi un aspect pluridisciplinaire. Le dossier ainsi complété sera soumis au service médical de l'OAIE, lequel se prononcera sur le degré d'invalidité jusqu'à la date de la décision attaquée, et de cette date au moment de l'expertise, en tenant compte de toutes les limitations constatées tant dans la dernière activité exercée que dans d'éventuelles activités de substitution exigibles qu'il conviendra de définir avec précision. Ensuite, après la procédure d'audition, l'OAIE rendra une nouvelle décision.</w:t>
      </w:r>
    </w:p>
    <w:p>
      <w:r>
        <w:rPr>
          <w:b/>
        </w:rPr>
        <w:t>E. 14.3</w:t>
      </w:r>
    </w:p>
    <w:p>
      <w:r>
        <w:t>Au vu de ce qui précède, la requête d'expertise judiciaire auprès du COMAI formulée dans la réplique peut être rejetée.</w:t>
      </w:r>
    </w:p>
    <w:p>
      <w:r>
        <w:rPr>
          <w:b/>
        </w:rPr>
        <w:t>E. 15</w:t>
      </w:r>
    </w:p>
    <w:p>
      <w:r>
        <w:t>Au vu de l'issue du présent recours, il ne sera pas perçu de frais de procédure (63 al. 1 et 2 PA; art. 6 du règlement du 21 février 2008 concernant les frais, dépens et indemnités fixés par le Tribunal administratif fédéral [FITAF, RS 173.320.2]). L'avance de frais versée sera retourné à la recourante dès l'entrée en force du présent arrêt. Sur la base du dossier, de l'issue de la procédure, de l'importance et de la difficulté du litige, ainsi que du travail et du temps que le mandataire de la recourante a dû y consacrer (minces recours et réplique), une indemnité totale de dépens de Fr. 1'200.- sera allouée à ce dernier, à charge de l'autorité intimée, en application de l'art. 64 PA et de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