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C-2836/2006 vom 5. April 2007</w:t>
      </w:r>
    </w:p>
    <w:p>
      <w:r>
        <w:t>Bundesverwaltungsgericht, 2007-04-05, FR</w:t>
      </w:r>
    </w:p>
    <w:p>
      <w:r>
        <w:rPr>
          <w:b/>
        </w:rPr>
        <w:t xml:space="preserve">Quelle: </w:t>
      </w:r>
      <w:r>
        <w:t>https://mcp.opencaselaw.ch/entscheid/bvger_C-2836_2006</w:t>
      </w:r>
    </w:p>
    <w:p>
      <w:r>
        <w:t>FR: TAF C-2836/2006 du 5 avril 2007</w:t>
      </w:r>
    </w:p>
    <w:p>
      <w:r>
        <w:t>IT: TAF C-2836/2006 del 5 aprile 2007</w:t>
      </w:r>
    </w:p>
    <w:p>
      <w:pPr>
        <w:pStyle w:val="Heading2"/>
      </w:pPr>
      <w:r>
        <w:t>Regeste</w:t>
      </w:r>
    </w:p>
    <w:p>
      <w:r>
        <w:t>Assurance-invalidité (divers)</w:t>
      </w:r>
    </w:p>
    <w:p>
      <w:pPr>
        <w:pStyle w:val="Heading2"/>
      </w:pPr>
      <w:r>
        <w:t>Erwägungen</w:t>
      </w:r>
    </w:p>
    <w:p>
      <w:r>
        <w:rPr>
          <w:b/>
        </w:rPr>
        <w:t>E. 1.1</w:t>
      </w:r>
    </w:p>
    <w:p>
      <w:r>
        <w:t>Les affaires pendantes devant les commissions fédérales de recours ou d'arbitrage ou devant les services de recours des départements au 1er janvier 2007 sont traitées par le Tribunal administratif fédéral, dans la mesure où il est compétent. Le nouveau droit de procédure s'applique (art. 53 al. 2 de la Loi sur le Tribunal administratif fédéral du 17 juin 2005 [LTAF, RS 173.32]).</w:t>
      </w:r>
    </w:p>
    <w:p>
      <w:r>
        <w:rPr>
          <w:b/>
        </w:rPr>
        <w:t>E. 1.2</w:t>
      </w:r>
    </w:p>
    <w:p>
      <w:r>
        <w:t>Sous réserve des exceptions - non réalisées en l'espèce - prévues à l'art. 32 LTAF, le Tribunal administratif fédéral, en vertu de l'art. 31 LTAF, connaît des recours contre les décisions au sens de l'art. 5 de la Loi fédérale sur la procédure administrative du 20 décembre 1968 (PA, RS 172.021) prises par les autorités mentionnées aux art. 33 et 34 LTAF. En particulier, les décisions rendues par l'OAIE concernant l'assurance-invalidité peuvent être contestées devant le Tribunal administratif fédéral conformément à l'art. 69 al. 1 let. b de la Loi fédérale sur l'assurance-invalidité du 19 juin 1959 (LAI, RS 831.20), celui-ci étant dès lors compétent pour connaître de la présente cause.</w:t>
      </w:r>
    </w:p>
    <w:p>
      <w:r>
        <w:rPr>
          <w:b/>
        </w:rPr>
        <w:t>E. 1.3</w:t>
      </w:r>
    </w:p>
    <w:p>
      <w:r>
        <w:t>La recourante a pris part à la procédure devant l'autorité intimée; elle est spécialement atteinte par la décision attaquée et a un intérêt digne de protection à son annulation ou à sa modification (art. 48 al. 1 PA). Elle est, partant, légitimée à recourir.</w:t>
      </w:r>
    </w:p>
    <w:p>
      <w:r>
        <w:rPr>
          <w:b/>
        </w:rPr>
        <w:t>E. 1.4</w:t>
      </w:r>
    </w:p>
    <w:p>
      <w:r>
        <w:t>Dans la mesure où le recours a été introduit dans le délai et la forme prescrits (art. 60 de la Loi fédérale sur la partie générale du droit des assurances sociales du 6 octobre 2000 [LPGA, RS 830.1] et art. 52 PA), il est entré en matière sur le fond du recours.</w:t>
      </w:r>
    </w:p>
    <w:p>
      <w:r>
        <w:rPr>
          <w:b/>
        </w:rPr>
        <w:t>E. 2.1</w:t>
      </w:r>
    </w:p>
    <w:p>
      <w:r>
        <w:t>La recourante est citoyenne d'un Etat membre de la Communauté européenne. Par conséquent, est applicable en l'espèce l'Accord entre la Confédération suisse, d'une part, et la Communauté européenne et ses Etats membres, d'autre part, sur la libre circulation des personnes du 21 juin 1999, entré en vigueur le 1er juin 2002, (ALCP, RS 0.142.112.681) - dont l'Annexe II règle la coordination des systèmes de sécurité sociale (art. 80a, de la Loi fédérale sur l'assurance-invalidité du 19 juin 1959 [LAI, RS 831.20]). Conformément à l'art. 3 al. 1 du Règlement (CEE) N° 1408/71 du Conseil du 14 juin 1971,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1408/71).</w:t>
      </w:r>
    </w:p>
    <w:p>
      <w:r>
        <w:rPr>
          <w:b/>
        </w:rPr>
        <w:t>E. 2.2</w:t>
      </w:r>
    </w:p>
    <w:p>
      <w:r>
        <w:t>La Loi fédérale sur la partie générale du droit des assurances sociales du 6 octobre 2000 (LPGA; RS 830.1) est entrée en vigueur le 1er janvier 2003, entraînant la modification de nombreuses dispositions légales dans le domaine de l'assurance-invalidité. Selon l'art. 2 LPGA, les dispositions de la présente loi sont applicables aux assurances sociales régies par la législation fédérale, si et dans la mesure où les lois spéciales sur les assurances sociales le prévoient. Or, l'art. 1 LAI mentionne que les dispositions de la LPGA s'appliquent à l'assurance-invalidité (art. 1a à 26bis et 28 à 70 ), à moins que ladite loi ne déroge expressément à la LPGA.</w:t>
      </w:r>
    </w:p>
    <w:p>
      <w:r>
        <w:rPr>
          <w:b/>
        </w:rPr>
        <w:t>E. 2.3</w:t>
      </w:r>
    </w:p>
    <w:p>
      <w:r>
        <w:t>S'agissant du droit applicable, il convient encore de préciser qu'à partir du 1er janvier 2004 la présente procédure est régie par la teneur de la LAI modifiée par la novelle du 21 mars 2003 (4ème révision), eu égard au principe selon lequel les règles applicables sont celles en vigueur au moment où les faits juridiquement déterminants se sont produits (ATF 130 V 445 consid. 1.2).</w:t>
      </w:r>
    </w:p>
    <w:p>
      <w:r>
        <w:rPr>
          <w:b/>
        </w:rPr>
        <w:t>E. 3.1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3.2</w:t>
      </w:r>
    </w:p>
    <w:p>
      <w:r>
        <w:t>L'assuré a droit à un quart de rente s'il est invalide à 40% au moins, à une demi-rente s'il est invalide à 50%, à trois-quarts de rente s'il est invalide à 60% et à une rente entière s'il est invalide à 70% au moins (art. 28 al. 1 LAI). Jusqu'au 31 décembre 2003, le droit à la rente entière était donné avec un taux d'invalidité de 66,67%, la demi-rente avec un taux d'invalidité de 50% au moins et le quart de rente avec un taux de 40%. Suite à l'entrée en vigueur le 1er juin 2002 de l'Accord bilatéral entre la Suisse et la Communauté européenne, la restriction prévue à l'art. 28 al. 1ter LAI - selon laquelle les rentes correspondant à un taux d'invalidité inférieur à 50% ne sont versées qu'aux assurés qui ont leur domicile et leur résidence habituelle en Suisse (art. 13 LPGA) - n'est plus applicable lorsque l'assuré est un ressortissant de l'UE et y réside.</w:t>
      </w:r>
    </w:p>
    <w:p>
      <w:r>
        <w:rPr>
          <w:b/>
        </w:rPr>
        <w:t>E. 4.1</w:t>
      </w:r>
    </w:p>
    <w:p>
      <w:r>
        <w:t>Selon l'art. 17 LPGA, qui correspond matériellement à l'ancien art. 41 LAI,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Selon la jurisprudence du Tribunal fédéral des assurances, la rente peut être révisée non seulement en cas de modification sensible de l'état de santé, mais aussi lorsque celui-ci est resté le même, mais que ses conséquences sur la capacité de gain ont subi un changement important (ATF 130 V 349 consid. 3.5).</w:t>
      </w:r>
    </w:p>
    <w:p>
      <w:r>
        <w:rPr>
          <w:b/>
        </w:rPr>
        <w:t>E. 4.2</w:t>
      </w:r>
    </w:p>
    <w:p>
      <w:r>
        <w:t>L'art. 88a al. 1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5.1</w:t>
      </w:r>
    </w:p>
    <w:p>
      <w:r>
        <w:t>Pour examiner si dans un cas de révision il y a eu une modification importante du degré d'invalidité au sens de l'art. 17 LPGA (ex art. 41 LAI), le juge doit prendre généralement en considération l'influence de l'état de santé sur la capacité de gain au moment où fut rendue la décision qui a octroyé ou modifié le droit à la rente, ainsi que l'état de fait existant au moment de la décision attaquée. En matière de révision d'office toutefois, c'est la dernière décision entrée en force, examinant matériellement le droit à la rente, qui constitue le point de départ pour examiner si le degré d'invalidité s'est modifié de manière à influencer le droit aux prestations. La jurisprudence concernant la reconsidération et la révision procédurale demeure réservée (ATF 130 V 71 consid. 3.2.3, ATAF I-465/2005 du 6 novembre 2006 consid. 5.4).</w:t>
      </w:r>
    </w:p>
    <w:p>
      <w:r>
        <w:rPr>
          <w:b/>
        </w:rPr>
        <w:t>E. 5.2</w:t>
      </w:r>
    </w:p>
    <w:p>
      <w:r>
        <w:t>En l'espèce, la recourante a bénéficié d'une rente entière d'invalidité dès le 1er mai 2003. La question de savoir si le degré d'invalidité a subi depuis lors une modification doit être jugée en comparant les faits tels qu'ils se présentaient à l'époque de la décision du 23 avril 2004, date de la dernière décision entrée en force ayant examiné matériellement le droit à la rente, et ceux qui ont existé jusqu'au 12 juillet 2006, date de la décision litigieuse.</w:t>
      </w:r>
    </w:p>
    <w:p>
      <w:r>
        <w:rPr>
          <w:b/>
        </w:rPr>
        <w:t>E. 6</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ou psychique - qui peut résulter d'une infirmité congénitale, d'une maladie ou d'un accident -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ATF 114 V 310 consid. 3c, RCC 1991 p. 329 consid. 1c).</w:t>
      </w:r>
    </w:p>
    <w:p>
      <w:r>
        <w:rPr>
          <w:b/>
        </w:rPr>
        <w:t>E. 7.1</w:t>
      </w:r>
    </w:p>
    <w:p>
      <w:r>
        <w:t>En 2004, le droit à la rente entière avait été reconnu à la recourante en raison de la polymyosite dont elle souffre depuis le 16 mai 2002.</w:t>
      </w:r>
    </w:p>
    <w:p>
      <w:r>
        <w:rPr>
          <w:b/>
        </w:rPr>
        <w:t>E. 7.2</w:t>
      </w:r>
    </w:p>
    <w:p>
      <w:r>
        <w:t>Lors de la procédure de révision entreprise en septembre 2004 qui a donné lieu à la décision litigieuse, l'administration a versé aux actes les rapports médicaux des Drs Woehl-Kremer, Charles, Wüest et von Arb. En substance, l'administration a considéré que l'assurée était incapable à 100% entre mai 2002 et novembre 2005, mais capable à 50% à compter de décembre 2005, tant pour l'activité qu'elle exerçait auparavant que pour une activité de substitution. La recourante, pour sa part, a avancé qu'elle a dû faire face à une rechute de la polymyosite en début d'année 2006. Elle a ainsi produit à l'appui de ses allégations deux rapports médicaux de la Dresse Woehl-Kremer des 24 avril et 2 juin 2006, ainsi qu'un certificat médical du Dr Ober du 25 mai 2006 (cf. supra B. et C.). En annexe à son écriture complémentaire du 20 mars 2007, la recourante a encore déposé quatre rapports médicaux postérieurs à la décision litigieuse.</w:t>
      </w:r>
    </w:p>
    <w:p>
      <w:r>
        <w:rPr>
          <w:b/>
        </w:rPr>
        <w:t>E. 8.1</w:t>
      </w:r>
    </w:p>
    <w:p>
      <w:r>
        <w:t>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citées).</w:t>
      </w:r>
    </w:p>
    <w:p>
      <w:r>
        <w:rPr>
          <w:b/>
        </w:rPr>
        <w:t>E. 8.2</w:t>
      </w:r>
    </w:p>
    <w:p>
      <w:r>
        <w:t>Certes les rapports médicaux sur lesquels se fonde l'OAIE sont probants et convergents au début 2006; ils constatent, à l'exemple du rapport médical des Drs Zaslawski, von Arb et Wüest du 18 avril 2006, qu'il s'est produit une amélioration de l'état de santé de la recourante et qu'elle serait capable d'exercer une activité lucrative à 50% à compter de décembre 2005. Cependant, comme l'a très justement relevé la recourante et comme cela ressort des nombreux rapports qui ont été versés en cause, la polymoysite est une maladie très fluctuante, évolutive. Or, force est pour l'autorité de céans de constater que la situation de la recourante s'est péjorée en 2006 et que les rapports médicaux déposés par celle-ci sont à cet égard tout aussi probants. Il ressort en effet très distinctement, tant des rapports de la Dresse Woehl-Kremer des 24 avril et 2 juin 2006 que de celui du Dr Ober du 25 mai 2006, que la recourante a fait une rechute de polymyosite et qu'ils la considèrent incapable de travailler à 70%. L'administration ne pouvait donc faire fi de ces récents rapports qu'elle a reçus quelques jours avant de rendre la décision litigieuse et on ne saurait suivre le Dr Voelin lorsqu'il avance laconiquement qu'aucune aggravation importante n'a pu être constatée, puisqu'on ne pouvait exclure a priori une telle aggravation. Ces conclusions se justifient d'autant plus que la rechute de polymyosite a été confirmée ultérieurement par le fait que la recourante ait dû se faire hospitaliser à réitérées reprises ainsi que par les rapports médicaux des 2 et 9 juin, 16 septembre et 11 octobre 2006 (cf. supra E.).</w:t>
      </w:r>
    </w:p>
    <w:p>
      <w:r>
        <w:rPr>
          <w:b/>
        </w:rPr>
        <w:t>E. 9</w:t>
      </w:r>
    </w:p>
    <w:p>
      <w:r>
        <w:t>Le recours doit par conséquent être admis en ce sens que la décision attaquée doit être annulée et la cause renvoyée à l'OAIE, afin que celui-ci prenne une nouvelle décision, après avoir procédé à une instruction complémentaire (art. 61 PA). A cet effet, une expertise auprès de l'Institut de rhumatologie de l'Université de Bâle ou d'un autre institut comparable sera effectuée. L'ensemble du dossier devra ensuite être soumis pour examen à un médecin du service médical de l'administration.</w:t>
      </w:r>
    </w:p>
    <w:p>
      <w:r>
        <w:rPr>
          <w:b/>
        </w:rPr>
        <w:t>E. 10.1</w:t>
      </w:r>
    </w:p>
    <w:p>
      <w:r>
        <w:t>Les art. 64 PA et 7 du Règlement concernant les frais, dépens et indemnités fixés par le Tribunal administratif fédéral du 11 décembre 2006 (FITAF, RS 173.320.2) - applicable en l'espèce en vertu de l'art. 53 al. 2 in fine LTAF-, permettent au Tribunal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Selon la jurisprudence, la partie qui a formé recours est reputée avoir obtenu gain de cause lorsque la cause est renvoyée à l'administration pour instruction complémentaire et nouvelle décision (ATF 132 V 215 consid. 6.2).</w:t>
      </w:r>
    </w:p>
    <w:p>
      <w:r>
        <w:rPr>
          <w:b/>
        </w:rPr>
        <w:t>E. 10.2</w:t>
      </w:r>
    </w:p>
    <w:p>
      <w:r>
        <w:t>En l'espèce, le travail accompli par le représentant de la recourante a consisté principalement dans la rédaction d'une écriture de recours de 2 pages, de déterminations complémentaires de 7 pages et de quelques brèves missives. Il se justifie, eu égard à ce qui précède, d'allouer à la partie recourante une indemnité à titre de dépens de Fr. 1'500.- à charge de l'OAIE.</w:t>
      </w:r>
    </w:p>
    <w:p>
      <w:r>
        <w:rPr>
          <w:b/>
        </w:rPr>
        <w:t>E. 11</w:t>
      </w:r>
    </w:p>
    <w:p>
      <w:r>
        <w:t>Il n'est pas perçu de frais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