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C-2833/2013 vom 17. April 2014</w:t>
      </w:r>
    </w:p>
    <w:p>
      <w:r>
        <w:t>Bundesverwaltungsgericht, 2014-04-17, DE</w:t>
      </w:r>
    </w:p>
    <w:p>
      <w:r>
        <w:rPr>
          <w:b/>
        </w:rPr>
        <w:t xml:space="preserve">Quelle: </w:t>
      </w:r>
      <w:r>
        <w:t>https://mcp.opencaselaw.ch/entscheid/bvger_C-2833_2013</w:t>
      </w:r>
    </w:p>
    <w:p>
      <w:r>
        <w:t>FR: TAF C-2833/2013 du 17 avril 2014</w:t>
      </w:r>
    </w:p>
    <w:p>
      <w:r>
        <w:t>IT: TAF C-2833/2013 del 17 aprile 2014</w:t>
      </w:r>
    </w:p>
    <w:p>
      <w:pPr>
        <w:pStyle w:val="Heading2"/>
      </w:pPr>
      <w:r>
        <w:t>Regeste</w:t>
      </w:r>
    </w:p>
    <w:p>
      <w:r>
        <w:t>Rente</w:t>
      </w:r>
    </w:p>
    <w:p>
      <w:pPr>
        <w:pStyle w:val="Heading2"/>
      </w:pPr>
      <w:r>
        <w:t>Erwägungen</w:t>
      </w:r>
    </w:p>
    <w:p>
      <w:r>
        <w:rPr>
          <w:b/>
        </w:rPr>
        <w:t>E. 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1.1</w:t>
      </w:r>
    </w:p>
    <w:p>
      <w:r>
        <w:t>Das Verfahren vor dem Bundesverwaltungsgericht richtet sich gemäss Art. 37 des Bundesgesetzes über das Bundesverwaltungsgericht vom 17. Juni 2005 (Verwaltungsgerichtsgesetz; VGG; SR 172.32)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Gemäss Art. 1 Abs. 1 des Bundesgesetzes vom 20. Dezember 1946 über die Alters- und Hinterlassenenversicherung (AHVG; SR 831.10) sind die Bestimmungen des ATSG anwendbar, soweit das AHVG nicht ausdrücklich eine Abweichung vom ATSG vorsieht.</w:t>
      </w:r>
    </w:p>
    <w:p>
      <w:r>
        <w:rPr>
          <w:b/>
        </w:rPr>
        <w:t>E. 1.2</w:t>
      </w:r>
    </w:p>
    <w:p>
      <w:r>
        <w:t>Nach Art. 31 VGG in Verbindung mit Art. 33 Bst. d VGG und Art. 85bis Abs. 1 AHVG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1.3</w:t>
      </w:r>
    </w:p>
    <w:p>
      <w:r>
        <w:t>Als Adressatin des angefochtenen Einspracheentscheids vom 17. April 2013 ist die Beschwerdeführerin beschwerdelegitimiert (Art. 59 ATSG, vgl. auch Art. 48 Abs. 1 VwVG). Auf die frist- und formgerecht eingereichte Beschwerde ist - da sämtliche Prozessvoraussetzungen erfüllt sind -einzutreten (Art. 60 ATSG; vgl. auch Art. 20 Abs. 1 und 3, Art. 50 und Art. 52 VwVG).</w:t>
      </w:r>
    </w:p>
    <w:p>
      <w:r>
        <w:rPr>
          <w:b/>
        </w:rPr>
        <w:t>E. 2.1</w:t>
      </w:r>
    </w:p>
    <w:p>
      <w:r>
        <w:t>Das Sozialversicherungsgericht beurteilt die Gesetzmässigkeit des angefochtenen Einspracheentscheides in der Regel nach dem Sachverhalt, der zur Zeit seines Erlasses gegeben war. Tatsachen, die jenen Sachverhalt seither verändert haben, sollen im Normalfall Gegenstand einer neuen Verwaltungsverfügung sein (BGE 130 V 138 E. 2.1). Vorbehältlich besonderer übergangsrechtlicher Regelungen sind in zeitlicher Hinsicht grundsätzlich diejenigen Rechtssätze massgeblich, die bei der Erfüllung des rechtlich zu ordnenden oder zu Rechtsfolgen führenden Tatbestandes Geltung haben (BGE 132 V 215 E. 3.1.1). Diese Lösung stellt zufolge ihres allgemein gültigen Bedeutungsgehaltes einen für alle Rechtsverhältnisse - und somit auch für Dauerleistungen - geltenden intertemporalrechtlichen Grundsatz auf (BGE 130 V 445 E. 1.2.1; SVR 2010 IV Nr. 59 S. 181 E. 3.1).</w:t>
      </w:r>
    </w:p>
    <w:p>
      <w:r>
        <w:rPr>
          <w:b/>
        </w:rPr>
        <w:t>E. 2.2.1</w:t>
      </w:r>
    </w:p>
    <w:p>
      <w:r>
        <w:t>Anspruch auf eine Witwen- oder Witwerrente haben Witwen oder Witwer, sofern sie im Zeitpunkt der Verwitwung Kinder haben (Art. 23 Abs. 1 AHVG). Gemäss Art. 23 Abs. 3 Satz 1 AHVG entsteht der Anspruch auf die Witwen- oder Witwerrente am ersten Tag des dem Tod des Ehemannes oder der Ehefrau folgenden Monats. Anspruch auf eine ordentliche Alters- oder Hinterlassenenrente haben die rentenberechtigten Personen, denen für mindestens ein volles Jahr Einkommen, Erziehungs- oder Betreuungsgutschriften angerechnet werden können, oder ihre Hinterlassenen (Art. 29 Abs. 1 AHVG).</w:t>
      </w:r>
    </w:p>
    <w:p>
      <w:r>
        <w:rPr>
          <w:b/>
        </w:rPr>
        <w:t>E. 2.2.2</w:t>
      </w:r>
    </w:p>
    <w:p>
      <w:r>
        <w:t>Der Ehemann der Beschwerdeführerin verstarb am 25. Juli 2010 (act. 3 S. 1 und act. 4 S. 2). In Anwendung der vorstehend erwähnten Gesetzesnormen hätte die Beschwerdeführerin somit ab dem 1. August 2010 Anspruch auf eine ordentliche Witwenrente. Zu beachten ist jedoch Folgendes:</w:t>
      </w:r>
    </w:p>
    <w:p>
      <w:r>
        <w:rPr>
          <w:b/>
        </w:rPr>
        <w:t>E. 2.3.1</w:t>
      </w:r>
    </w:p>
    <w:p>
      <w:r>
        <w:t>Ausländerinnen und Ausländer sowie ihre Hinterlassenen ohne Schweizer Bürgerrecht sind gemäss Art. 18 Abs. 2 AHVG nur rentenberechtigt, solange sie ihren Wohnsitz und gewöhnlichen Aufenthalt (Art. 13 ATSG) in der Schweiz haben, soweit keine abweichende zwischenstaatliche Vereinbarung besteht.</w:t>
      </w:r>
    </w:p>
    <w:p>
      <w:r>
        <w:rPr>
          <w:b/>
        </w:rPr>
        <w:t>E. 2.3.2</w:t>
      </w:r>
    </w:p>
    <w:p>
      <w:r>
        <w:t>Die im Ausland wohnhafte Beschwerdeführerin verfügt nicht über die Schweizer Staatsbürgerschaft. Sie erfüllt mangels Wohnsitzes und gewöhnlichen Aufenthalts in der Schweiz die Anspruchsvoraussetzungen auf eine Hinterlassenenrente gemäss Art. 18 Abs. 2 AHVG nicht.</w:t>
      </w:r>
    </w:p>
    <w:p>
      <w:r>
        <w:rPr>
          <w:b/>
        </w:rPr>
        <w:t>E. 3</w:t>
      </w:r>
    </w:p>
    <w:p>
      <w:r>
        <w:t>Nachfolgend ist zu prüfen, ob eine abweichende zwischenstaatliche Vereinbarung besteht, die zu einem anderen Ergebnis zu führen vermag.</w:t>
      </w:r>
    </w:p>
    <w:p>
      <w:r>
        <w:rPr>
          <w:b/>
        </w:rPr>
        <w:t>E. 3.1</w:t>
      </w:r>
    </w:p>
    <w:p>
      <w:r>
        <w:t>Gemäss BGE 139 V 263 sind das Abkommen vom 8. Juni 1962 zwischen der Schweizerischen Eidgenossenschaft und der ehemaligen Föderativen Volksrepublik Jugoslawien über Sozialversicherung sowie die Verwaltungsvereinbarung vom 5. Juli 1963 betreffend die Durchführung des Abkommens (SR 0.831.109.818.12) ab dem 1. April 2010 nicht weiter auf kosovarische Staatsangehörige anzuwenden.</w:t>
      </w:r>
    </w:p>
    <w:p>
      <w:r>
        <w:rPr>
          <w:b/>
        </w:rPr>
        <w:t>E. 3.2</w:t>
      </w:r>
    </w:p>
    <w:p>
      <w:r>
        <w:t>Aufgrund der Akten ergibt sich, dass die in der Republik Kosovo wohnhafte Beschwerdeführerin über die Staatsbürgerschaft dieses Landes verfügt (act. 3 und 4). Der Umstand, dass das Abkommen gemäss dem in vorstehender Erwägung erwähnten höchstrichterlichen Urteil nicht weiter auf Staatsbürgerinnen und -bürger der Republik Kosovo anwendbar ist, führt dazu, dass die Beschwerdeführerin diesbezüglich nicht mehr die Rechtsstellung einer Vertragsausländerin innehat und seit dem 1. April 2010 als Nichtvertragsausländerin gilt. Zwar wäre sie - da nach dem Dargelegten ab 1. April 2010 keine abweichende zwischenstaatliche Vereinbarung mehr besteht - bei Wohnsitz und gewöhnlichem Aufenthalt in der Schweiz ab 1. August 2010 witwenrentenberechtigt (vgl. E. 2.2.2 hiervor). Ein Export dieser Rentenleistungen in die Republik Kosovo ist mit Blick auf das erwähnte höchstrichterliche Urteil jedoch nicht (mehr) möglich.</w:t>
      </w:r>
    </w:p>
    <w:p>
      <w:r>
        <w:rPr>
          <w:b/>
        </w:rPr>
        <w:t>E. 3.3</w:t>
      </w:r>
    </w:p>
    <w:p>
      <w:r>
        <w:t>Nachfolgend ist weiter die Frage zu klären, ob die Beschwerdeführerin über eine Doppelbürgerschaft verfügt, welche zur (allfälligen) Weiteranwendung des Abkommens führen könnte (vgl. dazu BGE 139 V 335 E. 5.1 und 139 V 263 E. 9 ff. und E. 12.2).</w:t>
      </w:r>
    </w:p>
    <w:p>
      <w:r>
        <w:rPr>
          <w:b/>
        </w:rPr>
        <w:t>E. 3.3.1</w:t>
      </w:r>
    </w:p>
    <w:p>
      <w:r>
        <w:t>In BGE 139 V 263 wurde erwogen, dass aus der Tatsache, wonach die Republik Kosovo die multiple Staatsbürgerschaft zulasse, nicht abgeleitet werden könne, dass kosovarische Staatsangehörige ohne weiteres kosovarisch-serbische Doppelbürger seien. Ein Automatismus oder der Grundsatz, dass Personen aus dem Kosovo neben der Staatsangehörigkeit des Kosovo auch die serbische Staatsangehörigkeit besässen, sei zu verneinen. Dennoch könne das Vorliegen einer kosovarisch-serbischen Doppelbürgerschaft aber nicht ausgeschlossen werden. Eine solche sei indessen nicht nur überzeugend zu behaupten, sondern rechtsgenüglich zu belegen (E. 9 bis 12, insb. E. 12.2).</w:t>
      </w:r>
    </w:p>
    <w:p>
      <w:r>
        <w:rPr>
          <w:b/>
        </w:rPr>
        <w:t>E. 3.3.2</w:t>
      </w:r>
    </w:p>
    <w:p>
      <w:r>
        <w:t>Für den rechtsgenüglichen Beweis einer kosovarisch-serbischen Doppelbürgerschaft wurde in Erwägung 12.2 des vorstehend erwähnten Bundesgerichtsentscheids insbesondere auch auf die Mitteilung des BSV an die AHV-Ausgleichskassen und EL-Durchführungsstellen Nr. 326 vom 20. Februar 2013 verwiesen. Gemäss dieser Mitteilung ist betreffend Nachweis der serbischen Staatsangehörigkeit unter anderem zu beachten, dass für den Nachweis der serbischen Nationalität nur ein gültiger biometrischer Pass Serbiens ohne Einschränkungen hinsichtlich Visa-Freiheit für den Schengenraum akzeptiert wird. Der Pass darf keinen Vermerk "Koordinaciona Uprava" (Verwaltungskoordination) der serbischen passausstellenden Behörde enthalten.</w:t>
      </w:r>
    </w:p>
    <w:p>
      <w:r>
        <w:rPr>
          <w:b/>
        </w:rPr>
        <w:t>E. 3.3.3</w:t>
      </w:r>
    </w:p>
    <w:p>
      <w:r>
        <w:t>Zwar handelt es sich bei der Mitteilung Nr. 326 vom 20. Februar 2013 um eine für das Bundesverwaltungsgericht nicht verbindliche Verwaltungsweisung. Da durch diese Mitteilung dem Bestreben der Verwaltung, durch interne Weisungen eine rechtsgleiche Gesetzesanwendung zu gewährleisten, Rechnung getragen wird (BGE 139 V 122 E. 3.3.4) und überdies das Bundesgericht im Zusammenhang mit dem Beweis der kosovarisch-serbischen Doppelbürgerschaft darauf verwiesen hat (vgl. E. 3.3.2 hiervor), besteht im vorliegenden Verfahren entgegen der Auffassung der Beschwerdeführerin kein Raum für eine andere Betrachtungsweise. Demnach kann sie aus dem im Rahmen der Triplik vom 14. September 2013 eingereichten, von der Stadtverwaltung der Stadt B._______ am 26. August 2013 ausgestellten Staatsbürgerschaftsnachweis nichts zu ihren Gunsten ableiten.</w:t>
      </w:r>
    </w:p>
    <w:p>
      <w:r>
        <w:rPr>
          <w:b/>
        </w:rPr>
        <w:t>E. 3.4</w:t>
      </w:r>
    </w:p>
    <w:p>
      <w:r>
        <w:t>Aufgrund der vorstehenden Erwägungen ist zusammenfassend festzuhalten, dass die Beschwerdeführerin - obwohl sie laut Staatsbürgerschaftsnachweis vom 26. August 2013 nebst kosovarische auch serbische Staatsbürgerin ist - den gemäss Mitteilung Nr. 326 vom 20. Februar 2013 geforderten Nachweis der serbischen Staatsangehörigkeit nicht hatte erbringen können; insofern liegt keine Doppelbürgerschaft vor. Mit anderen Worten hat die Beschwerdeführerin ab dem 1. April 2010 als Angehörige eines Nichtvertragsstaates zu gelten. Es kann somit offen bleiben, ob und inwieweit die Annahme einer Doppelbürgerschaft für die vorliegende Frage überhaupt dienlich wäre. Art. 5 in Verbindung mit Art. 1 des serbischen Staatsangehörigkeitsgesetzes (veröffentlicht im Amtsblatt der Republik Serbien Nr. 135 vom 21. Dezember 2004 [abrufbar unter http://www.eudo-citizenship.eu: Databases, National Citizenship Laws]) stipuliert nämlich, dass ein serbischer Staatsangehöriger, der die Staatsbürgerschaft eines fremden Staates besitzt, als Serbe betrachtet wird, wenn er sich auf Territorium der Republik Serbien befindet (vgl. BGE 139 V 335 E. 5.2 mit Hinweis auf BGE 139 V 263 E. 12.2).</w:t>
      </w:r>
    </w:p>
    <w:p>
      <w:r>
        <w:rPr>
          <w:b/>
        </w:rPr>
        <w:t>E. 3.5</w:t>
      </w:r>
    </w:p>
    <w:p>
      <w:r>
        <w:t>Im Weiteren hat die Beschwerdeführerin auch keinen Anspruch auf eine ordentliche Altersrente in Form einer Abfindung. Diese Möglichkeit bestand gemäss Art. 7 Bst. a Satz 1 des ab dem 1. April 2010 nicht mehr anwendbaren Abkommens, der besagte, dass im Fall des Anspruchs auf eine ordentliche Teilrente, die höchstens ein Zehntel der entsprechenden ordentlichen Vollrente beträgt, an Stelle der Teilrente eine Abfindung in der Höhe des Barwertes der geschuldeten Rente gewährt wird.</w:t>
      </w:r>
    </w:p>
    <w:p>
      <w:r>
        <w:rPr>
          <w:b/>
        </w:rPr>
        <w:t>E. 3.6</w:t>
      </w:r>
    </w:p>
    <w:p>
      <w:r>
        <w:t>Schliesslich ist die Beschwerdeführerin darauf aufmerksam zu machen, dass gemäss schweizerischem Recht Ausländern, die ihren Wohnsitz im Ausland haben und mit deren Heimatstaat keine zwischenstaatliche Vereinbarung besteht (vorliegend ab dem 1. April 2010), sowie ihren Hinterlassenen die gemäss den Art. 5, 6, 8, 10 oder 13 AHVG bezahlten Beiträge rückvergütet werden können, wobei der Bundesrat die Einzelheiten, insbesondere das Ausmass der Rückvergütung regelt (Art. 18 Abs. 3 AHVG). Gemäss Art. 1 der Verordnung vom 29. November 1995 über die Rückvergütung der von Ausländern an die Alters- und Hinterlassenenversicherung bezahlten Beiträge (RV-AHV, SR 831.131.12) können die Beiträge zurückgefordert werden, sofern diese gesamthaft während mindestens eines vollen Jahres geleistet worden sind und keinen Rentenanspruch begründen. Diesbezüglich ist festzuhalten, dass die Beschwerdeführerin offenbar bereits am 13. November 2010 ein entsprechendes Gesuch um Prüfung der Anspruchsvoraussetzungen der Rückerstattung eingereicht hatte. Dieser Antrag wurde gemäss Aktenlage mit Verfügung vom 14. März 2011 abgewiesen, und nachdem am 28. Juli 2011 dagegen Einsprache erhoben worden war, wurde das Einspracheverfahren mit Zwischenverfügung vom 27. Februar 2012 sistiert (act. 5 S. 3). Die Akten sind deshalb an die Vorinstanz zur weiteren Behandlung des Rückerstattungsgesuchs zu übermitteln.</w:t>
      </w:r>
    </w:p>
    <w:p>
      <w:r>
        <w:rPr>
          <w:b/>
        </w:rPr>
        <w:t>E. 4</w:t>
      </w:r>
    </w:p>
    <w:p>
      <w:r>
        <w:t>Nach dem Dargelegten ist die Beschwerde vom 16. Mai 2013 (Poststempel: 17. Mai 2013) gegen den die Verfügung vom 27. November 2012 bestätigenden Einspracheentscheid vom 17. April 2013 abzuweisen.</w:t>
      </w:r>
    </w:p>
    <w:p>
      <w:r>
        <w:rPr>
          <w:b/>
        </w:rPr>
        <w:t>E. 5</w:t>
      </w:r>
    </w:p>
    <w:p>
      <w:r>
        <w:t>Zu befinden bleibt noch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Der unterliegenden Beschwerdeführerin ist entsprechend dem Verfahrensausgang gemäss Art. 64 Abs. 1 VwVG e contrario in Verbindung mit Art. 7 ff. des Reglements vom 21. Februar 2009 über die Kosten und Entschädigungen vor dem Bundesverwaltungsgericht (VGKE, SR 173.320.2) keine Parteientschädigung zuzusprechen. Die obsiegende Vorinstanz als Bundesbehörde hat ebenfalls keinen Anspruch auf eine Parteientschädigung und die Voraussetzungen einer Ausnahme im vorliegenden Fall sind nicht erfüllt (BGE 126 V 143 E. 4b; Art. 46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