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C-2828/2007 vom 6. März 2009</w:t>
      </w:r>
    </w:p>
    <w:p>
      <w:r>
        <w:t>Bundesverwaltungsgericht, 2009-03-06, FR</w:t>
      </w:r>
    </w:p>
    <w:p>
      <w:r>
        <w:rPr>
          <w:b/>
        </w:rPr>
        <w:t xml:space="preserve">Quelle: </w:t>
      </w:r>
      <w:r>
        <w:t>https://mcp.opencaselaw.ch/entscheid/bvger_C-2828_2007</w:t>
      </w:r>
    </w:p>
    <w:p>
      <w:r>
        <w:t>FR: TAF C-2828/2007 du 6 mars 2009</w:t>
      </w:r>
    </w:p>
    <w:p>
      <w:r>
        <w:t>IT: TAF C-2828/2007 del 6 marzo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La présente procédure est ainsi régie par la teneur de la LAI modifiée par la novelle du 21 mars 2003 (4ème révision). Les dispositions de la 5ème révision entrées en vigueur le 1er janvier 2008 ne sont pas applicables.</w:t>
      </w:r>
    </w:p>
    <w:p>
      <w:r>
        <w:rPr>
          <w:b/>
        </w:rPr>
        <w:t>E. 3.3</w:t>
      </w:r>
    </w:p>
    <w:p>
      <w:r>
        <w:t>Le recourant a présenté sa demande de rente le 27 juillet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27 juillet 2005 (12 mois avant le dépôt de la demande) ou si le droit à une rente était né entre cette date et le 28 mars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Le recourant a versé des cotisations à l'AVS/AI pendant plus d'une année au total (pce 5)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7.2</w:t>
      </w:r>
    </w:p>
    <w:p>
      <w:r>
        <w:t>En vertu des art. 12 et 13 PA et de l'art. 19 PA en relation avec l'art. 40 de la loi fédérale de procédure civile fédérale du 4 décembre 1947 (PCF, RS 273), le tribunal établit avec la collaboration des parties les faits déterminants pour la solution du litige ;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 162/2007 du 3 avril 2008 consid. 2.3. et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Il appert notamment du rapport E 213 du 11 janvier 2006 que le recourant souffre de cardiopathie ischémique chronique (pce 38 p. 8).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Il convient ensuite d'examiner la capacité de travail de l'assuré.</w:t>
      </w:r>
    </w:p>
    <w:p>
      <w:r>
        <w:rPr>
          <w:b/>
        </w:rPr>
        <w:t>E. 9.2.1</w:t>
      </w:r>
    </w:p>
    <w:p>
      <w:r>
        <w:t>La Dresse D._______, dans son rapport médical E 213 du 11 janvier 2006, retient que l'assuré ne peut certes plus accomplir la profession exercée jusqu'alors mais qu'une une activité de substitution adaptée peut être exigée de lui à temps partiel. Elle ne se prononce toutefois pas sur la durée maximale du travail (en heures ou en pourcentage de la durée journalière normale), tel que demandé au chiffre 11.6 du formulaire E 213. Par ailleurs, elle souligne que seuls des travaux sédentaires légers entrent en ligne de compte (pce 38 p. 8 et 10). De plus, l'activité de substitution est seulement possible à l'intérieur, sans contrainte de temps et moyennant des pauses supplémentaires. L'employeur doit également éviter que l'intéressé soit exposé à l'humidité, à la chaleur, à des émanations de gaz ou de vapeur, au froid et au bruit. Le travail posté, les flexions répétées, le port et le levage de charges, l'emploi d'escaliers ou d'échelles, le travail nocturne sont à proscrire (pce 38 p. 9). Cette appréciation n'est pas entièrement suivie par le Dr E._______, médecin de l'autorité inférieure, qui, dans sa prise de position du 3 janvier 2007, souligne qu'un travail de substitution mi-lourd peut être exigé de l'assuré à plein temps. Il met en exergue que l'opération subie par l'intéressé en octobre 2004 a donné de très bons résultats, ce qui est confirmé par la dernière coronarographie effectuée sur l'assuré le 30 septembre 2005, soit une année après l'angioplastie, et une fraction d'éjection tout à fait normale (pce 40 p. 2).</w:t>
      </w:r>
    </w:p>
    <w:p>
      <w:r>
        <w:rPr>
          <w:b/>
        </w:rPr>
        <w:t>E. 9.2.2</w:t>
      </w:r>
    </w:p>
    <w:p>
      <w:r>
        <w:t>Face à ces prises de position divergentes, le Tribunal de céans constate que le rapport médical détaillé de la Dresse D._______ se réfère en détails aux derniers examens effectués sur le recourant et souligne expressément que la dernière coronarographie du 30 septembre 2005 fait part de l'absence de lésion coronaire significative et d'une fraction d'éjection globale à 63% (pce 38 p. 6). Malgré ces résultats, la Dresse D._______ conclut à une capacité de travail de l'assuré limitée (pce 38 p. 9). L'autorité inférieure remet en cause cette appréciation uniquement sur la base de l'avis divergent du Dr. E._______, médecin généraliste de son service médical (pce 40 p. 2). S'il est vrai que les documents émanant du service médical d'un assureur ont en principe pleine valeur probante, le Tribunal fédéral a toutefois posé des exigences sévères à l'appréciation des preuves. Un doute, même minime, suffit à rendre une instruction complémentaire nécessaire (cf. 8.2). Tel est le cas en l'espèce. En effet, vu les avis divergents de la Dresse D._______ et du Dr E._______, un doute subsiste quant à la capacité de travail du recourant et il apparaît nécessaire de compléter la documentation médicale à ce sujet. Il sied en particulier de relever que l'appréciation du Dr E._______ n'est pas suffisamment motivée et semble de surcroît être imprécise, notamment pour ce qui à trait aux conséquences sur la capacité de travail d'une cardiopathie ischémique chronique même en l'absence de lésion coronaire significative. Par ailleurs, on remarquera que l'assuré a été victime d'épisodes de douleurs thoraciques suspectes et prolongées en 2005, quand bien même il ne travaillait plus à ce moment-là (cf. pces 33 et 37) et que les médecins qui on pu examiner le recourant en France ne se sont pas exprimés sur la question de la capacité de travail du recourant et encore moins sur une éventuelle capacité de travail totale dans une activité de substitution.</w:t>
      </w:r>
    </w:p>
    <w:p>
      <w:r>
        <w:rPr>
          <w:b/>
        </w:rPr>
        <w:t>E. 9.3</w:t>
      </w:r>
    </w:p>
    <w:p>
      <w:r>
        <w:t>Il se justifie dès lors, en application de l'art. 61 PA, de renvoyer la cause à l'OAIE pour instruction complémentaire comprenant toutes les expertises nécessaires à un jugement valable de la présente affaire. L'autorité inférieure veillera notamment à ce que soit produit un rapport médical actualisé sur l'état de santé du recourant avec prise de position circonstanciée par un cardiologue sur la capacité de travail de l'intéressé. L'ensemble du dossier sera par la suite soumis au service médical de l'OAIE pour examen. Enfin, une nouvelle décision sera prise.</w:t>
      </w:r>
    </w:p>
    <w:p>
      <w:r>
        <w:rPr>
          <w:b/>
        </w:rPr>
        <w:t>E. 10</w:t>
      </w:r>
    </w:p>
    <w:p>
      <w:r>
        <w:t>Indépendamment de l'issue de la procédure, il n'est pas perçu de frais de procédure, étant donné que le Tribunal de céans a admis la demande d'assistance judiciaire partielle et dispensé le recourant du paiement des frais de procédure par ordonnance du 14 septembre 2007 (pce TAF 11).</w:t>
      </w:r>
    </w:p>
    <w:p>
      <w:r>
        <w:rPr>
          <w:b/>
        </w:rPr>
        <w:t>E. 11</w:t>
      </w:r>
    </w:p>
    <w:p>
      <w:r>
        <w:t>Le recourant ayant agi sans avoir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