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C-2827/2025 vom 10. Februar 2025</w:t>
      </w:r>
    </w:p>
    <w:p>
      <w:r>
        <w:t>Bundesverwaltungsgericht, 2025-02-10, DE</w:t>
      </w:r>
    </w:p>
    <w:p>
      <w:r>
        <w:rPr>
          <w:b/>
        </w:rPr>
        <w:t xml:space="preserve">Quelle: </w:t>
      </w:r>
      <w:r>
        <w:t>https://mcp.opencaselaw.ch/entscheid/bvger_C-2827_2025_d20250210</w:t>
      </w:r>
    </w:p>
    <w:p>
      <w:r>
        <w:t>FR: TAF C-2827/2025 du 10 février 2025</w:t>
      </w:r>
    </w:p>
    <w:p>
      <w:r>
        <w:t>IT: TAF C-2827/2025 del 10 febbraio 2025</w:t>
      </w:r>
    </w:p>
    <w:p>
      <w:pPr>
        <w:pStyle w:val="Heading2"/>
      </w:pPr>
      <w:r>
        <w:t>Regeste</w:t>
      </w:r>
    </w:p>
    <w:p>
      <w:r>
        <w:t>Rente | Alters- und Hinterlassenenversicherung, vorsorgliche Einstellung der Witwenrente, Einspracheentscheid der SAK vom 10. Februar 2025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Januar 2025 nicht die Vorinstanz, sondern das Bundesverwaltungsge- richt hätte befinden müssen, dass die auf Einsprache lautende Rechtsmittelbelehrung in der Verfügung vom 24. Oktober 2024 daran nichts ändert, da eine falsche Rechtsmittel- belehrung eine nicht vorgesehene Rechtsmittelzuständigkeit nicht zu be- gründen vermag (Urteil des EVG [heute: BGer] U 410/04 vom 3. November 2006 E. 6.1 m.w.H.), dass es sich nach dem Gesagten beim hier angefochtenen Einspracheent- scheid vom 10. Februar 2025 mangels (funktioneller) Zuständigkeit der Vorinstanz um eine nichtige Verfügung handelt, welche kein Anfechtungs- objekt bilden kann, dass auf die – gegen die nichtige Verfügung vom 10. Februar 2025 gerich- tete – Beschwerde vom 18. März 2025 daher nicht einzutreten ist, dass auf die Eingabe der Beschwerdeführerin vom 14. Januar 2025, wel- che die Vorinstanz zuständigkeitshalber als Beschwerde an das Bundes- verwaltungsgericht hätte weiterleiten müssen, ebenfalls nicht einzutreten ist, da die am 24. Oktober 2024 verfügte vorläufige Nichtauszahlung der Witwenrente nach der Rechtsprechung keinen nicht wiedergutzumachen- den Nachteil im Sinne von Art. 46 Abs. 1 Bst. a VwVG bewirkt (vgl. statt vieler: Urteil des BGer 8C_709/2016 vom 28. August 2017 E. 3 m.w.H.) und die Voraussetzung gemäss Art. 46 Abs. 1 Bst. b VwVG nicht gegeben ist, weshalb eine entsprechende Beschwerde unzulässig ist, dass das vorliegende Beschwerdeverfahren kostenlos ist (vgl. Art. 85bis Abs. 2 AHVG), weshalb das Gesuch der Beschwerdeführerin um Befreiung von den Verfahrenskosten gegenstandslos ist, dass angesichts des vorliegenden Verfahrensausgangs bzw. infolge Aus- sichtslosigkeit der beschwerdeweise gestellten Begehren auch kein An- spruch auf Beiordnung eines Rechtsbeistands besteht (vgl. Art. 65 Abs. 1</w:t>
      </w:r>
    </w:p>
    <w:p>
      <w:r>
        <w:t>C-2827/2025 Seite 6 VwVG), so dass das Gesuch der Beschwerdeführerin um Gewährung der unentgeltlichen Rechtsverbeiständung abzuweisen ist, dass keine Parteientschädigungen auszurichten sind, da die Beschwerde- führerin angesichts des vorliegenden Verfahrensausgangs keinen An- spruch auf eine Parteientschädigung hat (Art. 64 Abs. 1 VwVG e contrario) und die Vorinstanz ebenfalls keine Parteientschädigung beanspruchen kann (Art. 7 Abs. 3 des Reglements vom 21. Februar 2008 über die Kosten und Entschädigungen vor dem Bundesverwaltungsgericht [VGKE, SR 173.320.2]), dass der vorliegende Nichteintretensentscheid – unter Verzicht auf die Ein- holung einer Vernehmlassung bei der Vorinstanz (Art. 57 Abs. 1 VwVG e contrario) – im einzelrichterlichen Verfahren erfolgen kann (Art. 23 Abs. 1 Bst. b VGG und Art. 85bis Abs. 3 AHVG).</w:t>
      </w:r>
    </w:p>
    <w:p>
      <w:r>
        <w:t>Das Dispositiv folgt auf der nächsten Seite.</w:t>
      </w:r>
    </w:p>
    <w:p>
      <w:r>
        <w:t>C-2827/2025 Seite 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