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C-2827/2011 vom 14. November 2011</w:t>
      </w:r>
    </w:p>
    <w:p>
      <w:r>
        <w:t>Bundesverwaltungsgericht, 2011-11-14, FR</w:t>
      </w:r>
    </w:p>
    <w:p>
      <w:r>
        <w:rPr>
          <w:b/>
        </w:rPr>
        <w:t xml:space="preserve">Quelle: </w:t>
      </w:r>
      <w:r>
        <w:t>https://mcp.opencaselaw.ch/entscheid/bvger_C-2827_2011</w:t>
      </w:r>
    </w:p>
    <w:p>
      <w:r>
        <w:t>FR: TAF C-2827/2011 du 14 novembre 2011</w:t>
      </w:r>
    </w:p>
    <w:p>
      <w:r>
        <w:t>IT: TAF C-2827/2011 del 14 novembre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RS 173.110]).</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2011/1 consid. 2 p. 4 et jurisprudence citée).</w:t>
      </w:r>
    </w:p>
    <w:p>
      <w:r>
        <w:rPr>
          <w:b/>
        </w:rPr>
        <w:t>E. 3</w:t>
      </w:r>
    </w:p>
    <w:p>
      <w:r>
        <w:t>La politique des autorités suisses en matière de visa joue un rôle très important dans la prévention de l'immigration clandestine (voir à ce sujet le Message concernant la loi sur les étrangers du 8 mars 2002, FF 2002 3493). Aussi, elles ne peuvent décider d'accueillir tous les étrangers qui désirent venir dans ce pays, que ce soit pour des séjours de courte ou de longue durée et peuvent ainsi légitimement appliquer une politique restrictive d'admission (ATF 135 I 143 consid. 2.2 p. 147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3531 ; ATF 135 II 1 consid. 1.1 p. 4 et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(art. 2 al. 4 et 5 LEtr).</w:t>
      </w:r>
    </w:p>
    <w:p>
      <w:r>
        <w:rPr>
          <w:b/>
        </w:rPr>
        <w:t>E. 5</w:t>
      </w:r>
    </w:p>
    <w:p>
      <w:r>
        <w:t>S'agissant des conditions d'entrée en Suisse pour un séjour n'excédant pas trois mois, l'art. 2 al. 1 OEV renvoie au Règlement (CE) n° 562/2006 du Parlement européen et du Conseil du 15 mars 2006 établissant un code communautaire relatif au franchissement des frontières par les personnes (code frontières Schengen [JO L 105 du 13 avril 2006 pp.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 1 let. d du code des visas) et une attention particulière est accordée à la volonté du demandeur de visa de quitter le territoire des Etats membres avant la date d'expiration du visa demandé (art. 21 § 1 du code des visas).</w:t>
      </w:r>
    </w:p>
    <w:p>
      <w:r>
        <w:rPr>
          <w:b/>
        </w:rPr>
        <w:t>E. 6</w:t>
      </w:r>
    </w:p>
    <w:p>
      <w:r>
        <w:t>Le Règlement (CE) n° 539/2001 du Conseil du 15 mars 2001 (JO L 81 du 21 mars 2001, pp. 1-7) différencie, en son art. 1 §§ 1 et 2, les ressortissants des Etats tiers selon qu'ils sont soumis ou non à l'obligation du visa. En tant que ressortissante des Philippines, la recourante est soumise à l'obligation du visa.</w:t>
      </w:r>
    </w:p>
    <w:p>
      <w:r>
        <w:rPr>
          <w:b/>
        </w:rPr>
        <w:t>E. 7.1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Il s'agit d'une pratique constante des autorités, qui découle de l'art. 5 al. 2 LEtr, selon laquelle une autorisation d'entrée en Suisse ne peut être délivrée à des étrangers dont le retour dans le pays où il résident n'est pas assuré.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Son état civil et son âge jouent également un rôle dans ce contexte.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134 I 49 consid. 3.1 p. 53 et la jurisprudence citée ; sur la notion d'arbitraire : ATF 134 I 263 consid. 3.1 pp. 265s. et la jurisprudence citée).</w:t>
      </w:r>
    </w:p>
    <w:p>
      <w:r>
        <w:rPr>
          <w:b/>
        </w:rPr>
        <w:t>E. 7.2</w:t>
      </w:r>
    </w:p>
    <w:p>
      <w:r>
        <w:t>Sur le plan politique, la République des Philippines a accédé à l'indépendance en 1946. Les institutions politiques actuelles, largement inspirées de celles des Etats-Unis, sont régies par la Constitution de 1987. Depuis 2001, le pays connaît une amélioration économique, mais le pouvoir reste fragilisé par la persistance d'un climat d'insécurité et de violence (voir en ce sens le site internet du Ministère français des affaires étrangères : www.diplomatie.gouv.fr &gt; Pays-Zones géo &gt; Philippines &gt; Présentation des Philippines, mis à jour le 9 septembre 2009, consulté le 10 octobre 2011). S'agissant de la situation socio-économique, nonobstant cette croissance, le chômage et le taux de pauvreté restent très élevés, ainsi 22,62% de la population vit en dessous du seuil de pauvreté (voir le site internet des rapports sur le développement humain du Programme des Nations Unies pour le développement (HDR UNDP) : http//hdr.undp.org &gt; Pays &gt;Philippines, consulté le 10 octobre 2011). Le produit intérieur brut (PIB) par habitant en 2010 s'élevait à environ USD 2'100.- pour l'Etat philippin et à plus de USD 67'700.- pour la Suisse (voir le site internet du Fonds monétaire international : www.imf.org &gt; Data and Statistics &gt; World Economic Outlook Databases (WEO) &gt; World Economic Outlook Databases September 2011 &gt; By Countries (country-level data) &gt; All countries, mis à jour le 10 octobre 2011, consulté le 10 octobre 2011, ainsi que le site internet du Département fédéral des affaires étrangères : www.eda.admin.ch &gt; Français &gt; Représentations &gt; Asie &gt; Philippines &gt; Key data, mis à jour le 23 août 2011, consulté le 10 octobre 2011). Pour l'année 2010, l'indice de développement humain (IDH), qui prend en compte la santé, l'éducation et le revenu des personnes, classe la République des Philippines en 97ème position sur 169 pays, et la Suisse en 13ème position, pour la même année (voir respectivement le site internet du HDR UNDP : http//hdr.undp.org &gt; Pays &gt;Philippines, consulté le 10 octobre 2011 ; http//hdr.undp.org &gt; Pays &gt; Suisse, consulté le 10 octobre 2011). Ces conditions de vie défavorables peuvent s'avérer décisives lorsqu'une personne prend la décision de quitter sa patrie, en ce sens que des conditions de vie relativement difficiles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7.3</w:t>
      </w:r>
    </w:p>
    <w:p>
      <w:r>
        <w:t>S'agissant de la situation personnelle de A._______, elle ne permet pas non plus d'émettre un pronostic favorable quant à sa sortie ponctuelle de Suisse à l'échéance du visa. En effet, la prénommée, qui est célibataire et âgée de 31 ans serait parfaitement à même de se créer une nouvelle existence hors des Philippines sans que cela n'entraîne pour elle de difficultés majeures sur le plan personnel. Certes, l'intéressée a des attaches familiales dans son pays d'origine (un enfant de 14 ans), mais si la présence d'enfants mineurs dans le pays d'origine constitue généralement une circonstance de nature à inciter un ressortissant étranger à retourner dans sa patrie après un séjour à l'étranger, tel n'est toutefois pas nécessairement le cas lorsqu'il existe, comme en l'espèce, des disparités considérables au plan socio-économique entre ce pays et la Suisse, différence de niveau de vie qui peut s'avérer décisive lorsqu'une personne prend la décision de quitter définitivement sa patrie. Dans pareils cas, il n'est en effet pas rare que la personne ayant obtenu un visa pour la Suisse soit précisément tentée, une fois sur le territoire helvétique, de s'installer durablement dans ce pays dans le but d'y faire venir ultérieurement ses enfants, en vue d'offrir à ceux-ci de meilleures conditions d'existence et possibilités de formation. Quant à la présence dans le pays d'origine de proches parents qui ne font pas partie du noyau familial au sens étroit (lequel comprend les époux et leurs enfants mineurs vivant sous le même toit), il ne s'agit en règle générale pas d'un facteur susceptible de dissuader un jeune ressortissant étranger de prolonger son séjour sur le territoire helvétique. S'agissant de sa situation professionnelle, la recourante est actuellement sans emploi et vivrait, selon ses déclarations du 14 février 2011 à l'Ambassade de Suisse à Manille, grâce à ses économies, au soutien de ses parents et de l'invitant. Ainsi, compte tenu de sa situation personnelle et financière ainsi que des conditions socio-économiques des Philippines, il ne saurait être exclu qu'une fois en Suisse, A._______ ne soit tentée de s'y installer durablement, dans l'espoir de s'y préparer un avenir plus prometteur que dans sa patrie et d'y faire venir ultérieurement son enfant. Compte tenu de ce qui précède, l'année que la recourante a passée à Chypre en 2009 ne saurait atténuer ce risque. Celui-ci apparaît d'autant plus élevé qu'en l'espèce, la prénommée entretient une relation sentimentale avec l'invitant (voir en ce sens l'arrêt du Tribunal C-3148/2010 du 24 février 2011 consid. 7 in fine). En effet, dans ses déclarations précitées, la recourante a précisé que B._______ était son "boyfriend" depuis août 2010, qu'ils se téléphonaient tous les jours et a affirmé vouloir venir en Suisse pour s'habituer à vivre avec lui, pour mieux se connaître afin de tracer un avenir commun. C'est le lieu de rappeler que la présente procédure a pour objet la délivrance d'une autorisation d'entrée en Suisse pour visite et est notamment soumise, comme précisé ci-dessus (consid. 5 et 7.1 supra), à ce que le départ ponctuel de la personne invitée au terme du séjour envisagé apparaisse suffisamment assuré. Elle ne saurait être confondue avec celle visant à l'octroi d'une autorisation en vue des préparatifs d'un mariage, qui est subordonné à d'autres conditions. Ainsi, même si la recourante a précisé qu'il n'était pas envisageable qu'elle prolonge son séjour en Suisse, la perspective d'un avenir commun avec l'invitant semble bien réelle. Dès lors, il ne peut être exclu que l'intéressée envisage sérieusement de s'expatrier. Dans ces circonstances, sa sortie de Suisse à l'échéance du visa n'est pas garantie, même dans l'hypothèse, qui ne saurait être d'emblée écartée, où le projet de former un couple avec son hôte serait reporté temporairement.</w:t>
      </w:r>
    </w:p>
    <w:p>
      <w:r>
        <w:rPr>
          <w:b/>
        </w:rPr>
        <w:t>E. 7.4</w:t>
      </w:r>
    </w:p>
    <w:p>
      <w:r>
        <w:t>Cette appréciation ne saurait être mise en cause par le fait que l'invitée n'ait jamais tenté d'entrer frauduleusement en Suisse, qu'elle ne soit pas une ancienne requérante d'asile déboutée, qu'elle soit en bonne santé, qu'elle n'envisage pas de rester une très longue période en Suisse et qu'elle n'entre pas dans la catégorie de personnes visée dans l'arrêt du Tribunal fédéral cité dans le recours (voir le mémoire de recours pp. 6 et 7). En outre, l'invitant n'a pas la qualité de réfugié en Suisse et n'est pas le fils de la recourante, de sorte que la présente affaire ne saurait être comparée à la cause C-3157/2007 citée dans le recours (p. 6).</w:t>
      </w:r>
    </w:p>
    <w:p>
      <w:r>
        <w:rPr>
          <w:b/>
        </w:rPr>
        <w:t>E. 8</w:t>
      </w:r>
    </w:p>
    <w:p>
      <w:r>
        <w:t>Cela étant, le désir exprimé par A._______, au demeurant parfaitement compréhensible, de venir en Suisse rendre visite à son ami afin de consolider leur relation sentimentale ne constitue pas à lui seul un motif justifiant l'octroi d'un visa, à propos duquel elle ne saurait au demeurant se prévaloir d'aucun droit (consid. 3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l'invitée et son hôte de se voir, les intéressés pouvant tout aussi bien se rencontrer hors de Suisse, notamment aux Philippines.</w:t>
      </w:r>
    </w:p>
    <w:p>
      <w:r>
        <w:rPr>
          <w:b/>
        </w:rPr>
        <w:t>E. 11</w:t>
      </w:r>
    </w:p>
    <w:p>
      <w:r>
        <w:t>Quant à l'inégalité de traitement invoquée et au grief selon lequel l'ODM a retenu des critères non prévus par la loi en se fondant sur l'Etat de provenance de l'invitée ainsi que sur son état civil et son âge, ils doivent être écartés pour les motifs figurant au considérant 7.1 ci-dessus. Il sied, au surplus, de relever que la législation sur les étrangers ne garantit aucun droit quant à l'octroi d'un visa et que les autorités helvétiques doivent examiner en fonction des circonstances particulières de chaque requête le risque résultant du fait que la personne bénéficiant d'un visa d'entrée ne quitte pas la Suisse, voire l'Espace Schengen, au terme du séjour envisagé. Lorsqu'ils statuent en tenant compte de l'ensemble des circonstances, comme tel est le cas en l'espèce, l'ODM et le Tribunal établissent des distinctions qui se justifient pleinement, de sorte qu'on ne saurait y voir une violation de l'égalité de traitement ou de l'interdiction de l'arbitraire.</w:t>
      </w:r>
    </w:p>
    <w:p>
      <w:r>
        <w:rPr>
          <w:b/>
        </w:rPr>
        <w:t>E. 12</w:t>
      </w:r>
    </w:p>
    <w:p>
      <w:r>
        <w:t>Compte tenu des considérants exposés ci-dessus, il appert que, par sa décision du 27 avril 2011,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