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C-2824/2012 vom 31. Oktober 2013</w:t>
      </w:r>
    </w:p>
    <w:p>
      <w:r>
        <w:t>Bundesverwaltungsgericht, 2013-10-31, DE</w:t>
      </w:r>
    </w:p>
    <w:p>
      <w:r>
        <w:rPr>
          <w:b/>
        </w:rPr>
        <w:t xml:space="preserve">Quelle: </w:t>
      </w:r>
      <w:r>
        <w:t>https://mcp.opencaselaw.ch/entscheid/bvger_C-2824_2012</w:t>
      </w:r>
    </w:p>
    <w:p>
      <w:r>
        <w:t>FR: TAF C-2824/2012 du 31 octobre 2013</w:t>
      </w:r>
    </w:p>
    <w:p>
      <w:r>
        <w:t>IT: TAF C-2824/2012 del 31 ottobre 2013</w:t>
      </w:r>
    </w:p>
    <w:p>
      <w:pPr>
        <w:pStyle w:val="Heading2"/>
      </w:pPr>
      <w:r>
        <w:t>Regeste</w:t>
      </w:r>
    </w:p>
    <w:p>
      <w:r>
        <w:t>Rückforderung von Versicherungsleistungen und Erlass</w:t>
      </w:r>
    </w:p>
    <w:p>
      <w:pPr>
        <w:pStyle w:val="Heading2"/>
      </w:pPr>
      <w:r>
        <w:t>Erwägungen</w:t>
      </w:r>
    </w:p>
    <w:p>
      <w:r>
        <w:rPr>
          <w:b/>
        </w:rPr>
        <w:t>E. 3</w:t>
      </w:r>
    </w:p>
    <w:p>
      <w:r>
        <w:t>Als erstes ist zu prüfen, ob es rechtens war, dass die SAK die rechtskräftige Verfügung vom 29. Oktober 2002 aufgehoben und durch eine neue Verfügung ersetzt hat.</w:t>
      </w:r>
    </w:p>
    <w:p>
      <w:r>
        <w:rPr>
          <w:b/>
        </w:rPr>
        <w:t>E. 3.1</w:t>
      </w:r>
    </w:p>
    <w:p>
      <w:r>
        <w:t>Gemäss Art. 53 Abs. 2 ATSG kann der Versicherungsträger auf for­mell rechtskräftige Verfügungen oder Einspracheentscheide zurück­kom­men, wenn diese zweifellos unrichtig sind und ihre Berichtigung von er­heblicher Bedeutung ist. Betreffend das Kriterium der offensicht­lichen Unrichtigkeit ist ein restriktiver Massstab anzusetzen, wenn der Wiederer­wägungsgrund im Bereich der materiellen Anspruchsvoraus­setzungen liegt, handelt es sich doch hierbei um Anspruchsvoraus­setzungen, deren Beurteilung in Be­zug auf gewisse Schritte und Ele­mente (z.B. Schät­zungen, Beweis­würdigungen, Zumutbarkeitsfragen) not­wendigerweise Ermessens­züge aufweist. Erscheint die Beurteilung der materiellen An­spruchs­vor­aus­setzungen vor dem massgeblichen Hinter­grund der Sach- und Rechtslage wie sie sich im Zeitpunkt der rechtskräftigen Leistungs­zu­sprechung darbot als vertretbar, scheidet die Annahme zweifelloser Un­richtigkeit aus.</w:t>
      </w:r>
    </w:p>
    <w:p>
      <w:r>
        <w:rPr>
          <w:b/>
        </w:rPr>
        <w:t>E. 3.2</w:t>
      </w:r>
    </w:p>
    <w:p>
      <w:r>
        <w:t>Vorliegend hat die SAK die ursprüngliche Rentenverfügung vom 29. Oktober 2002 aufgehoben, da sie bei der Berechnung der Rente von einem nicht zutreffenden Zivilstand ausgegangen und deshalb die Rente nicht korrekt festgelegt worden war. Aus den Akten geht hervor (vgl. SAK-act. 24), dass die SAK im Zeitpunkt der Rentenfestsetzung (Oktober 2002) keine Kenntnis von der zweiten Ehe der Beschwerdeführerin hatte, da diese die SAK darüber nicht informierte. Die SAK bemerkte den Irrtum anlässlich der Überprüfung der Lebens-, Zivilstands- und Wohnsitzbescheinigung vom 25. November 2011. Die SAK hat deshalb die Rente im 2002 nicht korrekt festgelegt, was die Beschwerdeführerin auch nicht bestreitet. Die SAK war somit befugt, die zweifellos unrichtige Verfügung aufzuheben und durch eine neue Verfügung zu ersetzen. 3.3.1 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Entrichtung der einzelnen Leistung (Art. 25 Abs. 2 ATSG). Geht die unrecht­mässi­ge Leistungs­aus­richtung auf einen Fehler des Versicherungsträgers zurück (z.B. Fehler bei der Rentenberechnung), beginnt die einjährige Frist nicht mit der Leis­tungsausrichtung zu laufen; massgebend ist viel­mehr, der (spätere) Zeit­punkt, in welchem der Versicherungsträger anlässlich einer Kontrolle zu­mutbarerweise den Fehler hätte entdecken können (BGE 124 V 380 E. 1). Die absolute Frist von fünf Jahren setzt mit dem tatsächlichen Be­zug der einzelnen Leistung ein, und nicht etwa mit dem Datum, an wel­chem sie hätte erbracht werden sollen (vgl. Ueli Kieser, ATSG-Kom­mentar, 2. Aufl., Zürich 2009, Rz. 41 zu Art. 25 mit Hinweisen). 3.3.2 Vorliegend hat die SAK - wie bereits erwähnt - bei der Überprüfung des von der Beschwerdeführerin eingereichten Formulars " Lebens-, Zivilstands- und Wohnsitzbescheinigung" Ende November 2011 entdeckt. Die SAK hat die Rückforderungsverfügung am 2. März 2012 und damit die einjährige relative Frist für die Rückforderung eingehalten. Indem die SAK nur die Rentenbetreffnisse der letzten fünf Jahre korrigierte, hat die SAK auch die fünfjährige Frist berücksichtigt. Die Rückforderung ist somit nicht zu beanstanden und die Beschwerde ist in diesem Punkt abzuweisen.</w:t>
      </w:r>
    </w:p>
    <w:p>
      <w:r>
        <w:rPr>
          <w:b/>
        </w:rPr>
        <w:t>E. 3.4</w:t>
      </w:r>
    </w:p>
    <w:p>
      <w:r>
        <w:t>Die von der Beschwerdeführerin für einen Verzicht auf die Rückforderung sinngemäss geltend gemachten Gründe (grosse Härte und Gutgläubigkeit) sind hier nicht zu prüfen, da über diese gemäss Art. 4 Abs. 1 und 2 der Verordnung vom 11. September 2002 über den Allgemeinen Teil des Sozialversicherungsrechts (ATSV, SR 830.11) erst im Rahmen eines allfälligen Erlassgesuchs nach Eintritt der Rechtskraft der Rückerstattungsverfügung entschieden werden kann. Zusammenfassend ist somit festzuhalten, dass die SAK zu Recht von der Beschwerdeführerin den Betrag von Fr. 2'493. für die zwischen 1. April 2007 und 31. März 2012 zu viel bezahlten Renten zurückgefordert hat. Ob die Beschwerdeführerin den Betrag tatsächlich zurückbezahlen muss respektive ob der ausstehende Betrag mit den laufenden Rentenzahlungen verrechnet werden kann, ist erst nach Eintritt der Rechtskraft der Rückerstattungsverfügung zu prüfen; insoweit ist auf die Beschwerde nicht einzutreten und im Übrigen ist sie im einzelrichterlichen Verfahren gemäss Art. 23 Abs. 2 VGG in Verbindung mit Art. 85bis Abs. 3 AHVG abzuweisen.</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ebenso wenig 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