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C-281/2006 vom 17. September 2007</w:t>
      </w:r>
    </w:p>
    <w:p>
      <w:r>
        <w:t>Bundesverwaltungsgericht, 2007-09-17, FR</w:t>
      </w:r>
    </w:p>
    <w:p>
      <w:r>
        <w:rPr>
          <w:b/>
        </w:rPr>
        <w:t xml:space="preserve">Quelle: </w:t>
      </w:r>
      <w:r>
        <w:t>https://mcp.opencaselaw.ch/entscheid/bvger_C-281_2006</w:t>
      </w:r>
    </w:p>
    <w:p>
      <w:r>
        <w:t>FR: TAF C-281/2006 du 17 septembre 2007</w:t>
      </w:r>
    </w:p>
    <w:p>
      <w:r>
        <w:t>IT: TAF C-281/2006 del 17 settembre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en dernière instance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 par la décision entreprise, a qualité pour recourir (cf. art 20 al. 1 LSEE et art. 48 PA). Son recours, présenté dans la forme et les délais prescrits par la loi, est recevable (cf. art. 50 et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2.2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2.3</w:t>
      </w:r>
    </w:p>
    <w:p>
      <w:r>
        <w:t>A ce propos, il sied de relever que l'autorité fédérale n'est pas liée par l'appréciation émise par le canton de Vaud dans sa proposition du 8 juillet 2005 s'agissant de l'exemption du recourant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3.3</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ATF 2A.45/2007 du 17 avril 2007 consid. 5, 2A.718/2006 du 21 mars 2007 consid. 3, 2A.586/2006 du 6 décembre 2006 consid. 2.1, 2A.59/2006 du 3 mai 2006 consid. 3,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4</w:t>
      </w:r>
    </w:p>
    <w:p>
      <w:r>
        <w:t>En l'occurrence, se fondant sur les pièces du dossier et les déclarations que le recourant a formulées à l'appui de sa requête du 6 décembre 2004 auprès des autorités vaudoises de police des étrangers, le Tribunal administratif fédéral estime que les éléments portés à sa connaissance permettent de constater que l'intéressé a résidé en Suisse en toute illégalité entre 1989 et 1992 (période au terme de laquelle il est rentré dans son pays d'origine pour entreprendre les démarches auprès de l'Ambassade de Suisse à Alger en vue de l'obtention de son visa pour revenir étudier à Genève), qu'il a ensuite bénéficié d'une autorisation de séjour pour études entre 1992 et 1999, qu'il a préféré poursuivre son séjour sur territoire helvétique de manière illégale, après l'échéance du délai imparti au 25 avril 2000 par l'OFE dans sa décision du 16 mars 2000 en matière d'extension à tout le territoire suisse de la décision cantonale de renvoi, et que depuis le dépôt de sa demande de régularisation, le 6 décembre 2004, il y demeure au bénéfice d'une simple tolérance cantonale, laquelle ne revêt qu'un caractère provisoire et aléatoire. Ces circonstances ne sauraient être considérées comme constitutives d'un cas personnel d'extrême gravité (cf. ATF 128 II 200 consid. 4 et les arrêts cités; pour des personnes " sans papiers " voir les arrêts 2A.718/2006 du 21 mars 2007, 2A.512/2006 du 18 octobre 2006 et 2A.96/2006 du 27 mars 2006). En effet,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le recourant ne saurai tirer parti de la durée de son séjour en Suisse pour bénéficier d'une exception aux mesures de limitation. Pour rappel, ce dernier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w:t>
      </w:r>
    </w:p>
    <w:p>
      <w:r>
        <w:t>En particulier, il s'impose de souligner que le recourant n'a été autorisé à résider en Suisse entre 1992 et 1999 que sous le couvert d'autorisations pour études délivrées en application de l'art. 32 OLE. Or, ces autorisations revêtent un caractère temporaire et sont destinées à accueillir en Suisse des étudiants étrangers pour qu'ils y acquièrent une formation et la mettent ensuite au service de leur pays. Elles ne visent donc pas à permettre à ces étudiants, arrivés au termes de leurs études ou après un échec définitif, de rester en Suisse pour y travailler (arrêts du Tribunal fédéral 2A.611/2005 du 14 octobre 2005, 2A.6/2004 du 9 mars 2004 consid. 2 et 2A.381/2003 du 5 septembre 2003 consid. 1.1). Le recourant était dès lors parfaitement conscient que son séjour en Suisse depuis 1992 était limité à la durée de ses études et qu'il devrait rentrer dans son pays, quelle que soit l'issue de sa formation. Au demeurant, il est à noter que l'intéressé a non seulement eu l'occasion d'achever la formation pour laquelle il avait sollicité, le 3 août 1992, une autorisation de séjour pour études en obtenant le 29 juin 1999 un diplôme d'ingénieur E.T.S., mais qu'il a encore obtenu à l'UNIL une licence en lettres au mois de juillet 2006. Cela étant, il est constant que les études du recourant sont terminées, de sorte que sous cet angle du moins, il n'y a plus place pour la poursuite de son séjour en Suisse, l'intéressé devant en principe quitter la Suisse, ce qu'il ne nie pas avoir toujours su. Il est encore à rappeler à ce propos que l'intéressé s'était fermement engagé à quitter la Suisse au terme de ses études (cf. formulaire de demande de permis de séjour pour études rempli et signé le 3 août 1992).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ATF 123 II 125 consid. 3).</w:t>
      </w:r>
    </w:p>
    <w:p>
      <w:r>
        <w:rPr>
          <w:b/>
        </w:rPr>
        <w:t>E. 6.1</w:t>
      </w:r>
    </w:p>
    <w:p>
      <w:r>
        <w:t>Cela étant, il convient d'examiner les critères d'évaluation qui, autres que la seule durée du séjour en Suisse, pourraient rendre le retour du recourant dans son pays d'origine particulièrement difficile.</w:t>
      </w:r>
    </w:p>
    <w:p>
      <w:r>
        <w:rPr>
          <w:b/>
        </w:rPr>
        <w:t>E. 6.2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consid. 4 et les arrêts cités). En effet faut-il encore que le refus de soustraire l'intéressé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6.3</w:t>
      </w:r>
    </w:p>
    <w:p>
      <w:r>
        <w:t>En l'occurrence, s'il n'est pas contesté que, notamment depuis le début de ses études en 1992, l'intéressé s'est créé en Suisse un nouvel environnement dans lequel il s'est bien adapté, compte tenu de son engagement sportif, son activité de moniteur de natation et des témoignages émanant de tiers, il ne s'est pas pour autant constitué avec ce pays des attaches à ce point profondes et durables qu'il ne puisse plus envisager un retour dans son pays d'origine. Certes, le recourant allègue qu'il n'a plus d'attaches avec l'Algérie au vu du nombre d'années passées en Suisse. Le Tribunal de céans relève cependant que l'intéressé a vécu dans son pays d'origine la plus grande partie de son existence et notamment les vingt et une premières années de sa vie, années qui dépassent largement celles qui sont décisives pour la formation de la personnalité (cf. ATF 123 II 125 consid. 5b/aa). Dans ces conditions, le Tribunal administratif fédéral ne saurait considérer que le séjour du recourant sur le territoire suisse ait été suffisamment long pour le rendre totalement étranger à sa patrie. En outre, même si le recourant affirme qu'il ne possède plus de liens familiaux ou de connaissances en Algérie, il n'en demeure pas moins que son père et trois frères vivent toujours dans son pays d'origine (cf. lettre du 6 juillet 2005), de sorte qu'il ne pourrait dès lors être considéré comme étant dépourvu de tout réseau familial et social. Il convient aussi de rappeler que les cours que le recourant a suivis à l'EIG (qui ont débouché sur l'obtention d'un diplôme d'ingénieur E.T.S.) étaient précisément destinés à lui permettre de retourner dans son pays d'origine avec une formation supplémentaire lui permettant d'y appliquer les connaissances acquises en Suisse et de trouver un travail. Il est encore à noter que le recourant a obtenu une licence en lettres et qu'il peut donc aussi envisager une carrière dans l'enseignement. Enfin, force est de constater que les connaissances acquises l'ont été dans le cadre d'un séjour autorisé pour études, mais ne garantissent aucun droit à la poursuite du séjour (cf. consid. 5), et qu'il ne saurait dès lors être question de considérer que l'intéressé a fait preuve d'une évolution professionnelle remarquable en Suisse justifiant, à elle seule, l'admission d'un cas de rigueur au sens de l'art. 13 let. f OLE, quand bien même ses employeurs se seraient déclarés entièrement satisfaits de ses services (cf. arrêt du Tribunal fédéral 2A.586/2006 du 6 décembre 2006 consid. 2.2 et les arrêts du Tribunal fédéral non publiés du 12 août 1996 en la cause J. c/ DFJP, du 23 janvier 1998 dans la cause A. c/ DFJP et du 2 février 1999 dans la cause P. SA et B. c/ DFJP). Certes, le Tribunal de céans n'ignore pas que le recourant a exercé, à diverses occasions, la fonction de moniteur de natation dans des clubs sportifs au niveau cantonal. Cependant, ces activités, indépendamment de la considération qu'elles ne manquent pas d'attirer sur la personne du recourant, se sont déroulées durant les études de l'intéressé en tant qu'activités accessoires autorisées, puis dans le cadre de la procédure d'approbation auprès des instances fédérales et en tant que telles, elles ne sauraient justifier un non-assujettissement aux mesures de limitation. En outre, le Tribunal administratif fédéral relève que le comportement du recourant en Suisse n'est pas exempt de tout reproche. En effet, entre 1989 et 1992, ainsi que depuis l'échéance du délai de départ de Suisse fixé au 25 avril 2000 et jusqu'au dépôt de sa demande d'autorisation de séjour au mois de décembre 2004, l'intéressé a séjourné et travaillé dans ce pays de manière totalement illégale. Même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7</w:t>
      </w:r>
    </w:p>
    <w:p>
      <w:r>
        <w:t>Le Tribunal administratif fédéral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relevé ci-avant, le recourant a suivi des formations et obtenu des diplômes en Suisse dont il pourra profiter dans son pays d'origine. En conséquence, l'examen de l'ensemble des éléments de la présente cause amène le Tribunal administratif fédéral à la conclusion que X._______ ne se trouve pas dans une situation d'extrême gravité au sens de l'art. 13 let. f OLE et que c'est à bon droit que l'autorité intimée a considéré qu'il ne satisfaisait pas aux exigences de cette disposition.</w:t>
      </w:r>
    </w:p>
    <w:p>
      <w:r>
        <w:rPr>
          <w:b/>
        </w:rPr>
        <w:t>E. 8</w:t>
      </w:r>
    </w:p>
    <w:p>
      <w:r>
        <w:t>Enfin, dans la mesure où le dossier est complet et l'état de fait pertinent suffisamment établi, le Tribunal peut se dispenser de procéder à des mesures d'instruction complémentaires (telle une audition personnelle du recourant) dans le cadre de la présente cause (cf. ATF 131 I 153 consid. 3 p. 157, ATF 125 I 209 consid. 9b p. 219, et la jurisprudence citée; cf. JAAC 56.5).</w:t>
      </w:r>
    </w:p>
    <w:p>
      <w:r>
        <w:rPr>
          <w:b/>
        </w:rPr>
        <w:t>E. 9</w:t>
      </w:r>
    </w:p>
    <w:p>
      <w:r>
        <w:t>Compte tenu des considérants exposés ci-dessus, il appert que, par sa décision du 29 septembre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