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C-2816/2014 vom 12. Februar 2016</w:t>
      </w:r>
    </w:p>
    <w:p>
      <w:r>
        <w:t>Bundesverwaltungsgericht, 2016-02-12, DE</w:t>
      </w:r>
    </w:p>
    <w:p>
      <w:r>
        <w:rPr>
          <w:b/>
        </w:rPr>
        <w:t xml:space="preserve">Quelle: </w:t>
      </w:r>
      <w:r>
        <w:t>https://mcp.opencaselaw.ch/entscheid/bvger_C-2816_2014</w:t>
      </w:r>
    </w:p>
    <w:p>
      <w:r>
        <w:t>FR: TAF C-2816/2014 du 12 février 2016</w:t>
      </w:r>
    </w:p>
    <w:p>
      <w:r>
        <w:t>IT: TAF C-2816/2014 del 12 febbraio 2016</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Adressat der angefochtenen Verfügung ist der Beschwer­de­führer davon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2.1</w:t>
      </w:r>
    </w:p>
    <w:p>
      <w:r>
        <w:t>Der Beschwerdeführer ist spanischer Staatsangehöriger und wohnt in Spanien,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2.1.2</w:t>
      </w:r>
    </w:p>
    <w:p>
      <w:r>
        <w:t>Mit Blick auf den Verfügungszeitpunkt (17. April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ist das IVG in der Fassung vom 21. März 2003 (AS 2003 3837; 4. IV-Revision, in Kraft seit dem 1. Januar 2004), die im Rahmen der 5. IV-Revision (in Kraft seit 1. Januar 2008; AS 2007 5129) und der IV-Revision 6a (in Kraft seit 1. Januar 2012; AS 2011 5659) vorgenommenen Änderungen zu beachten. Analoges gilt für die IVV (SR 831.201) und das ATSG. Die 5. IV-Revision brachte für die Invaliditätsbemessung keine substanziellen Änderungen gegenüber der bis zum 31. Dezember 2007 gültig gewesenen Rechtslage, so dass die zur altrechtlichen Regelung ergangene Rechtsprechung weiterhin massgebend ist (vgl. Urteil BGer 8C_944/2010 vom 21. März 2011 E. 3; Urteil BGer 8C_373/2008 vom 28. August 2008 E. 2.1; siehe auch BGE 135 V 215 E. 7).</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m.w.H.) setzt voraus, dass sowohl eine Arbeitsunfähigkeit als auch eine Erwerbsunfähigkeit in anspruchserheblichem Umfang vorliegen (vgl. BGE 121 V 264 E. 6b/cc).</w:t>
      </w:r>
    </w:p>
    <w:p>
      <w:r>
        <w:rPr>
          <w:b/>
        </w:rPr>
        <w:t>E. 2.5</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131 E. 3 m.w.H.). Die Rente ist insbesondere bei einer wesentlichen Änderung des Gesundheitszustandes oder der erwerblichen Auswirkungen des an sich gleich gebliebenen Gesundheitszustandes revidierbar. Liegt ein Revisionsgrund im Sinne von Art. 17 Abs. 1 ATSG vor, ist der Rentenanspruch in rechtlicher und tatsächlicher Hinsicht umfassend ("allseitig") zu prüfen, wobei keine Bindung an frühere Beurteilungen besteht (BGE 141 V 9 E. 2.3 m.w.H.). Ist eine anspruchserhebliche Änderung des Sachverhalts nicht mit überwiegender Wahrscheinlichkeit erstellt, bleibt es nach dem Grundsatz der materiellen Beweislast beim bisherigen Rechtszustand (vgl. SVR 2010 IV Nr. 30 [9C_961/2008] E. 6.3; Urteil BGer 9C_418/2010 vom 29. August 2011 E. 3.1).</w:t>
      </w:r>
    </w:p>
    <w:p>
      <w:r>
        <w:rPr>
          <w:b/>
        </w:rPr>
        <w:t>E. 2.8</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 Art. 88a IVV legt auch die zeitlichen Wirkungen der Rentenanpassung fest, falls diese im Rahmen einer Befristung oder Abstufung, also gleichzeitig mit der Rentenzusprechung erfolgt. Wird hingegen eine zu einem früheren Zeitpunkt zugesprochene Rente revisionsweise abgeändert, richtet sich der Anpassungszeitpunkt nach Art. 88bis IVV (BGE 133 V 67 E. 4.3.4 m.w.H.). Demnach erfolgt eine Erhöhung der Rente - sofern die versichere Person die Revision verlangt hat - frühestens von dem Monat an, in dem das Revisionsbegehren gestellt wurde (Art. 88bis Abs. 1 Bst. a IVV). Die Herabsetzung oder Aufhebung einer Rente erfolgt gemäss Art. 88bis Abs. 2 Bst. a IVV frühestens vom ersten Tag des zweiten der Zustellung der Verfügung folgenden Monats an (vgl. dazu BGE 135 V 306; die Verordnungsänderung vom 16. November 2011 betrifft nur die Assistenzbeiträge und ist vorliegend nicht von Belang).</w:t>
      </w:r>
    </w:p>
    <w:p>
      <w:r>
        <w:rPr>
          <w:b/>
        </w:rPr>
        <w:t>E. 3</w:t>
      </w:r>
    </w:p>
    <w:p>
      <w:r>
        <w:t>Vorliegend ist nicht bestritten, dass sich der Gesundheitszustand des Beschwerdeführers aufgrund des zweiten Unfalls vom 3. Mai 2006 erheblich verschlechtert hat und die Erhöhung der Rente in Anwendung von Art. 88a Abs. 2 und Art. 88bis Abs. 1 Bst. a IVV auf den 1. Dezember 2006 vorzunehmen war. Unbestritten ist - zu Recht - auch, dass das MEDAS-Gutachten vom 26. Januar 2010 den Anforderungen an eine beweiskräftige Expertise entspricht und darauf abzustellen ist. Nicht unproblematisch erscheint allerdings der Umstand, dass die Vorinstanz, welche den Sachverhalt bis zum Verfügungszeitpunkt zu ermitteln hat (vgl. Art. 43 Abs. 1 ATSG; Art. 57 Abs. 3 IVG; Ueli Kieser, ATSG-Kommentar, 3. Aufl. 2015, Art. 43, Rz. 14), nach Eingang des Gutachtens über vier Jahre zuwartete, bis sie (insbesondere gestützt auf das MEDAS-Gutachten) ihre Verfügung erliess (vgl. Urteil BGer I 981/06 vom 18. Januar 2008 E. 5.3). Soweit die Sachverständigen - insbesondere auch retrospektiv - die funktionelle Leistungsfähigkeit des Beschwerdeführers von Mai 2006 bis Oktober 2009 (Zeitpunkt der Begutachtung) zu beurteilen hatten, wird der Beweiswert des Gutachtens dadurch jedenfalls nicht gemindert. Weiter beantragt der Beschwerdeführer ausdrücklich keine neue Begutachtung (vgl. Sachverhalt B) und es gibt vorliegend auch keine Hinweise dafür, dass sich sein Gesundheitszustand nach den Untersuchungen für das Gutachten vom 26. Januar 2010 bis zum Erlass der angefochtenen Verfügung erheblich verändert haben könnte. Es wäre deshalb nicht sachgerecht, dem MEDAS-Gutachten allein infolge Zeitablauf den Beweiswert abzusprechen. Streitig und im Folgenden zu beurteilen ist mithin die Arbeitsfähigkeit des Beschwerdeführers in einer leidensangepassten Tätigkeit ab 3. Mai 2007. Ab diesem Zeitpunkt erachtet die Vorinstanz eine revisionsrechtlich erhebliche Verbesserung des funktionellen Leistungsvermögens als erstellt, was der Beschwerdeführer bestreitet.</w:t>
      </w:r>
    </w:p>
    <w:p>
      <w:r>
        <w:rPr>
          <w:b/>
        </w:rPr>
        <w:t>E. 3.1</w:t>
      </w:r>
    </w:p>
    <w:p>
      <w:r>
        <w:t>Im Rahmen der medizinischen Gesamtbeurteilung wird im MEDAS-Gutachten (S. 51) unter anderem ausgeführt, der Versicherte sei am 3. Mai 2006 von einer Leiter aus etwa 4 Metern Höhe gestürzt. Er sei auf das Gesicht gefallen und habe sich Gesichtsverletzungen, Gesichtsschädelfrakturen, eine Augenverletzung rechts mit Glaskörperblutung, ein Thorax­trauma, Rippenfrakturen, einen kleinen Pneumothorax, Kontusion der Schulter rechts und ein mittelschweres Schädel-Hirn-Trauma mit Subduralhämatom rechts mit Kontusionsblutung frontal rechts zugezogen. Die somatischen Verletzungsfolgen seien im weiteren Verlauf recht gut abgeheilt. In einem MRI des Schädels vom Januar 2008 seien die cerebralen Verletzungen noch objektivierbar. Im November 2008 habe der Versicherte zudem einen Autounfall mit einer MTBI (Mild Traumatic Brain Injury bzw. leichte traumatische Hirnverletzung) erlitten. Im internistischen Bereich wurden keine pathologischen Befunde erhoben. Von orthopädischer Seite wurde namentlich ein rezidivierendes cervicales und lumbovertebral betontes Schmerzsyndrom sowie ein Status nach Morbus Scheuermann mit degenerativen Wirbelkörperveränderungen angeführt. Ausser dem Vermeiden von Tätigkeiten mit Heben schwerer Lasten ergebe sich aus orthopädischer Sicht keine Arbeitsunfähigkeit. Aus neurologischer Sicht seien (als Unfallfolgen) eine atypische Trigeminusneuralgie mit Beschwerden im Bereich des rechten Oberkiefers, eine Visusverminderung am rechten Auge und neurokognitive Defizite zu nennen. Die neurokognitiven Defizite hätten mittels neuropsychologischer Untersuchung verifiziert werden können. Es hätten sich Störungen im Bereich der Konzentration, des Gedächtnisses, ein stark verlangsamtes Arbeitstempo und Hinweise auf kognitive Instabilität gefunden. Von psychiatrischer Seite zeige der Versicherte eine inadäquate Emotionalität mit inadäquatem Response, eine gewisse Urteilsschwäche, eine leichte kognitive Beeinträchtigung und vor allem ein inadäquat euphorisch heiteres Verhalten, was sich mit einem organischen Psychosyndrom nach Schädel-Hirn-Trauma vereinbaren lasse. Bereits vor dem Unfall vom Mai 2006 habe eine psychiatrische Störung im Sinne einer dissoziativen Störung bestanden, welche z.T. Einfluss auf die Arbeitsfähigkeit gehabt habe. Es bestehe heute eine gemischte und komplexe Psychopathologie. Psychiatrisch auffällig sei insbesondere die durchwegs vorhandene inadäquate Heiterkeit des Versicherten im Rahmen der Begutachtung (wie wenn er zu einem "Kaffeekränzchen" gekommen wäre). Seine Urteilsfähigkeit und seine Wahrnehmungsfähigkeit seien eingeschränkt. Aus psychiatrischer Sicht müsse aufgrund des psychoorganischen Syndroms eine Einschränkung der Arbeitsfähigkeit attestiert werden (MEDAS-Gutachten S. 53). Unter Berücksichtigung der somatischen und psychiatrischen Aspekte sei der Versicherte gesamthaft gesehen in seiner zuletzt ausgeübten Tätigkeit als Fensterreiniger seit dem Unfall vom 3. Mai 2006 als voll arbeitsunfähig zu betrachten. Für einfache Reinigungsarbeiten auf ebenem Boden ohne Hektik und Stress sei er ab Gutachtensdatum zu 50% eingeschränkt (S. 53). Zumutbar seien körperlich leichte Tätigkeiten ohne Gefahrenpotential, ohne Sturzgefahr, ohne Bedienen von laufenden Maschinen, ohne Besteigen von Leitern und Gerüsten, ohne Notwendigkeit, ein Fahrzeug führen zu müssen, ohne kognitive Ansprüche, ohne Hektik und Stress sowie ohne die Notwendigkeit eines Stereosehens (S. 54).</w:t>
      </w:r>
    </w:p>
    <w:p>
      <w:r>
        <w:rPr>
          <w:b/>
        </w:rPr>
        <w:t>E. 3.2</w:t>
      </w:r>
    </w:p>
    <w:p>
      <w:r>
        <w:t>Entgegen der Ansicht des Beschwerdeführers lässt sich aus dem MEDAS-Gutachten keine höhere Arbeitsunfähigkeit ableiten. Die Einschätzungen der Sachverständigen sind klar und bedürfen keiner Auslegung. Zudem wird - worauf die IV-Stelle ZH in ihrer Stellungnahme vom 13. August 2014 hinweist - zur Frage der Suva nach dem zeitlichen und leistungsmässigen Umfang einer zumutbaren Tätigkeit explizit festgehalten, dass eine leidensangepasste Tätigkeit während zweimal drei Stunden täglich ausgeübt werden könnte, aber mit reduziertem Rendement, so dass effektiv eine Arbeitsfähigkeit von 50% resultiere (IV-act. 180 S. 57). Da Unfallfolgen und Vorzustand respektive Krankheitsfolgen nicht klar abgegrenzt werden konnten, gelten diese Angaben nicht nur für den Bereich der Unfallversicherung.</w:t>
      </w:r>
    </w:p>
    <w:p>
      <w:r>
        <w:rPr>
          <w:b/>
        </w:rPr>
        <w:t>E. 3.3</w:t>
      </w:r>
    </w:p>
    <w:p>
      <w:r>
        <w:t>Zu prüfen bleibt, ab welchem Zeitpunkt der Beschwerdeführer in einer angepassten Tätigkeit wieder zu 50% arbeitsfähig war. Laut MEDAS-Gutachten ist das Gutachtensdatum massgebend (vgl. S. 53 und 54), womit zweifellos nicht der Zeitpunkt des Verfassens des Gutachtens, sondern der Begutachtung (Untersuchungen) gemeint ist. Diese fand im Rahmen eines stationären Aufenthaltes vom 19. - 22. Oktober 2009 statt (MEDAS-Gutachten S. 1). Die IV-Stelle ZH nahm - entsprechend den Angaben des RAD - hingegen an, der Gesundheitszustand des Beschwerdeführers habe sich bereits per 3. Mai 2007 verbessert (vgl. IV-act. 207 S. 6 und 8). Der RAD begründet indessen nicht, weshalb er von der Einschätzung der Gutachter abweicht, sondern führt lediglich an: "Nach dem Unfall vom 03.05.2006 kann medizinisch theoretisch für (maximal) ein Jahr eine 100% AUF und danach eine 50% AF in [...] angepasster Tätigkeit angenommen werden" (IV-act. 207 S. 8). Der RAD weicht damit nicht nur ohne hinreichende Begründung vom - auch von diesem als beweiskräftig erachteten - MEDAS-Gutachten ab; er stützt sich zudem nicht auf die medizinischen Akten im konkreten Fall. Auf die Beurteilung des RAD kann daher nicht abgestellt werden. Vielmehr erscheint die Verbesserung der Leistungsfähigkeit entsprechend dem MEDAS-Gutachten im Oktober 2009 als mit überwiegender Wahrscheinlichkeit nachgewiesen. Gemäss Art. 88a Abs. 1 IVV ist die Verbesserung des Gesundheitszustandes nach drei Monaten, mithin per Ende Januar 2010 zu berücksichtigen.</w:t>
      </w:r>
    </w:p>
    <w:p>
      <w:r>
        <w:rPr>
          <w:b/>
        </w:rPr>
        <w:t>E. 4</w:t>
      </w:r>
    </w:p>
    <w:p>
      <w:r>
        <w:t>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w:t>
      </w:r>
    </w:p>
    <w:p>
      <w:r>
        <w:rPr>
          <w:b/>
        </w:rPr>
        <w:t>E. 4.1.1</w:t>
      </w:r>
    </w:p>
    <w:p>
      <w:r>
        <w:t>Für die Ermittlung des Valideneinkommens ist nach der Rechtsprechung entscheidend, was die versicherte Person im Zeitpunkt des frühestmöglichen Rentenbeginns (bzw. vorliegend im Zeitpunkt der Herabsetzung der Rente, vgl. Urteil BGer 8C_7/2014 vom 10. Juli 2014 E. 5.2)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139 V 28 E. 3.3.2; 134 V 325 E. 4.1, je m.w.H.).</w:t>
      </w:r>
    </w:p>
    <w:p>
      <w:r>
        <w:rPr>
          <w:b/>
        </w:rPr>
        <w:t>E. 4.1.2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297 E. 5.2 m.w.H.). Für die Bestimmung des Invalideneinkommens anhand von LSE-Tabel­lenlöhnen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(BGE 129 V 472 E. 4.2.3 m.w.H.). Der Einfluss sämtlicher Merkmale auf das Invalideneinkommen ist nach pflichtgemässem Ermessen gesamthaft zu schätzen, wobei der Abzug auf insgesamt höchstens 25 % zu begrenzen ist (BGE 129 V 472 E. 4.2.3, 126 V 75 E. 5b bb und cc; vgl. auch BGE 135 V 297 E. 5.2).</w:t>
      </w:r>
    </w:p>
    <w:p>
      <w:r>
        <w:rPr>
          <w:b/>
        </w:rPr>
        <w:t>E. 4.2</w:t>
      </w:r>
    </w:p>
    <w:p>
      <w:r>
        <w:t>Die Vorinstanz hat das der ersten leistungszusprechenden Verfügung vom 3. Mai 2006 zugrunde liegende Valideneinkommen von CHF 58'207.- (Stand 2003) indexiert und für die Bestimmung des Invalideneinkommens die LSE-Tabelle TA1 herangezogen (Zentralwert "Total" für Männer im Anforderungsniveau 4), wobei sie den maximalen Abzug von 25% gewährt hat. Der vorinstanzliche Einkommensvergleich, der einen Invaliditätsgrad von 63% ergab, wäre grundsätzlich nicht zu beanstanden; er wurde jedoch auf den 1. September 2007 statt auf den 1. Februar 2010 (vgl. oben E. 3.3) vorgenommen. Der Beschwerdeführer erhebt nicht Einwände gegen die Invaliditätsbemessung der Vorinstanz, sondern (zu Unrecht, vgl. oben E. 3.2) gegen die vorinstanzliche Feststellung der Restarbeitsfähigkeit.</w:t>
      </w:r>
    </w:p>
    <w:p>
      <w:r>
        <w:rPr>
          <w:b/>
        </w:rPr>
        <w:t>E. 4.2.1</w:t>
      </w:r>
    </w:p>
    <w:p>
      <w:r>
        <w:t>Bei der Anpassung an die Lohnentwicklung ist nach Geschlechtern zu differenzieren, d.h. es ist auf den Lohnindex für Frauen oder Männer abzustellen (BGE 129 V 408). Im Jahr 2003 war der Nominallohnindex (Männer) im Baugewerbe bei 112.3, im Jahr 2010 bei 122.8 (vgl. Schweizerischer Lohnindex nach Wirtschaftszweigen: Index und Veränderung auf der Basis 1993 = 100, Tabelle T1.1.93; abrufbar unter: &lt;http://www.bfs.admin.ch &gt; Themen &gt; 03 - Arbeit und Erwerb &gt; Löhne, Erwerbseinkommen &gt; Detaillierte Daten &gt; Lohnentwicklung &gt; Schweizerischer Lohnindex nach Branche [besucht am 04.02.2016]). Das massgebende Valideneinkommen beträgt demnach CHF 63'649.30 (58'207 x 122.8 / 112.3).</w:t>
      </w:r>
    </w:p>
    <w:p>
      <w:r>
        <w:rPr>
          <w:b/>
        </w:rPr>
        <w:t>E. 4.2.2</w:t>
      </w:r>
    </w:p>
    <w:p>
      <w:r>
        <w:t>Gemäss LSE-Tabelle TA1 betrug im Jahr 2010 der Zentralwert "Total" im Anforderungsniveau 4 für Männer CHF 4'901 (Schweizerische Lohnstrukturerhebung 2010, BFS, 2012, S. 26). Angepasst an die betriebsübliche wöchentliche Arbeitszeit von 41.6 Wochenstunden im Jahr 2010 (vgl. &lt;http://www.bfs.admin.ch &gt; Themen &gt; 03 - Arbeit und Erwerb &gt; Erwerbstätigkeit und Arbeitszeit &gt; Detaillierte Daten &gt; Statistik der betriebsüblichen Arbeitszeit &gt; Betriebsübliche Wochenarbeitszeit [besucht am 04.02.2016]) ergibt dies ein Jahreseinkommen von CHF 61'164.50. Unter Berücksichtigung der Arbeitsunfähigkeit von 50% in einer leidensangepassten Tätigkeit und dem von der Vorinstanz vorgenommenen leidensbedingten Abzug von 25% ergibt dies ein Invalideneinkommen von CHF 22'936.70.</w:t>
      </w:r>
    </w:p>
    <w:p>
      <w:r>
        <w:rPr>
          <w:b/>
        </w:rPr>
        <w:t>E. 4.2.3</w:t>
      </w:r>
    </w:p>
    <w:p>
      <w:r>
        <w:t>Bei einem Valideneinkommen von CHF 63'649.30 und einem Invalideneinkommen von CHF 22'936.70 beträgt die Einkommenseinbusse CHF 40'712.65. Dies ergibt einen Invaliditätsgrad von 64%.</w:t>
      </w:r>
    </w:p>
    <w:p>
      <w:r>
        <w:rPr>
          <w:b/>
        </w:rPr>
        <w:t>E. 4.3</w:t>
      </w:r>
    </w:p>
    <w:p>
      <w:r>
        <w:t>Zusammenfassend ist festzustellen, dass die Vorinstanz die ab 1. Dezember 2006 gewährte ganze Rente zu Recht auf eine Dreiviertelsrente herabgesetzt hat. Die Herabsetzung hat jedoch erst per 1. Februar 2010 und nicht bereits mit Wirkung ab 1. September 2007 zu erfolgen. In diesem Sinne ist die Beschwerde teilweise gutzuheissen.</w:t>
      </w:r>
    </w:p>
    <w:p>
      <w:r>
        <w:rPr>
          <w:b/>
        </w:rPr>
        <w:t>E. 5</w:t>
      </w:r>
    </w:p>
    <w:p>
      <w:r>
        <w:t>Zu befinden bleibt noch über die Verfahrenskosten und eine allfällige Parteientschädigung.</w:t>
      </w:r>
    </w:p>
    <w:p>
      <w:r>
        <w:rPr>
          <w:b/>
        </w:rPr>
        <w:t>E. 5.1</w:t>
      </w:r>
    </w:p>
    <w:p>
      <w:r>
        <w:t>Gemäss Art. 63 Abs. 1 VwVG sind die Verfahrenskosten in der Regel der unterliegenden Partei aufzuerlegen. Unterliegt diese nur teilweise, so werden die Verfahrenskosten ermässigt. Der Vorinstanz werden keine Verfahrenskosten auferlegt (Art. 63 Abs. 2 VwVG). Der Beschwerdeführer obsiegt insoweit, als die Rente erst mit Wirkung ab 1. Februar 2010 und nicht bereits per 1. September 2007 auf eine Dreiviertelsrente herabzusetzen ist. Mit dem Antrag, es sei ihm weiterhin eine ganze Rente zuzusprechen, ist er hingegen nicht durchgedrungen. Die dem Beschwerdeführer aufzuerlegenden Verfahrenskosten sind deshalb um die Hälfte auf CHF 200.- zu reduzieren. Da er einen Kostenvorschuss von CHF 400.- geleistet hat, werden ihm nach Eintritt der Rechtskraft des vorliegenden Urteils CHF 200.- zurückerstattet.</w:t>
      </w:r>
    </w:p>
    <w:p>
      <w:r>
        <w:rPr>
          <w:b/>
        </w:rPr>
        <w:t>E. 5.2</w:t>
      </w:r>
    </w:p>
    <w:p>
      <w:r>
        <w:t>Der Beschwerdeführer hat gemäss Art. 64 Abs. 1 VwVG in Verbindung mit Art. 7 ff. des Reglements vom 21. Februar 2008 über die Kosten und Entschädigungen vor dem Bundesverwaltungsgericht (VGKE, SR 173.320.2) Anspruch auf eine reduzierte Parteientschädigung zu Lasten der Verwaltung. Da keine Kostennote eingereicht wurde, ist die Entschädigung aufgrund der Akten festzusetzen (vgl. Art. 14 Abs. 2 VGKE). Unter Berücksichtigung des teilweisen Obsiegens sowie des gebotenen und aktenkundigen Aufwandes erscheint eine Parteientschädigung von pauschal CHF 2'000.-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