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C-2813/2010 vom 23. Februar 2011</w:t>
      </w:r>
    </w:p>
    <w:p>
      <w:r>
        <w:t>Bundesverwaltungsgericht, 2011-02-23, IT</w:t>
      </w:r>
    </w:p>
    <w:p>
      <w:r>
        <w:rPr>
          <w:b/>
        </w:rPr>
        <w:t xml:space="preserve">Quelle: </w:t>
      </w:r>
      <w:r>
        <w:t>https://mcp.opencaselaw.ch/entscheid/bvger_C-2813_2010</w:t>
      </w:r>
    </w:p>
    <w:p>
      <w:r>
        <w:t>FR: TAF C-2813/2010 du 23 février 2011</w:t>
      </w:r>
    </w:p>
    <w:p>
      <w:r>
        <w:t>IT: TAF C-2813/2010 del 23 febbraio 2011</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2</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3.4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4</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w:t>
      </w:r>
    </w:p>
    <w:p>
      <w:r>
        <w:rPr>
          <w:b/>
        </w:rPr>
        <w:t>E. 5</w:t>
      </w:r>
    </w:p>
    <w:p>
      <w:r>
        <w:t>Il ricorrente contesta la validità materiale della decisione dell'UAIE, chiedendo che gli sia riconosciuto il diritto ad una rendita d'invalidità.</w:t>
      </w:r>
    </w:p>
    <w:p>
      <w:r>
        <w:rPr>
          <w:b/>
        </w:rPr>
        <w:t>E. 6</w:t>
      </w:r>
    </w:p>
    <w:p>
      <w:r>
        <w:t>In deroga all'art. 24 cpv. 1 LPGA, il quale prevede che il diritto a prestazioni arretrate si estingue cinque anni dopo la fine del mese per cui era dovuta la prestazione, l'art. 48 cpv. 2 LAI, nel suo tenore in vigore fino al 31 dicembre 2007, precisa che, se l'assicurato si annuncia più di dodici mesi dopo la nascita del diritto, le prestazioni possono essere assegnate soltanto per i dodici mesi precedenti la richiesta. In concreto, il ricorrente ha presentato la domanda di rendita il 23 gennaio 2006. Questo Tribunale può quindi limitarsi ad esaminare se il ricorrente avesse diritto ad una rendita il 23 gennaio 2005 (ossia dodici mesi precedenti la presentazione della domanda), oppure se un diritto alla rendita fosse sorto tra tale data e il 23 marzo 2010, data della decisione dell'UAIE. Il giudice delle assicurazioni sociali analizza, infatti, la legalità della decisione impugnata, in generale, secondo lo stato di fatto esistente al momento in cui la decisione in lite è stata resa (DTF 130 V 445 consid. 1.2 e 1.2.1).</w:t>
      </w:r>
    </w:p>
    <w:p>
      <w:r>
        <w:rPr>
          <w:b/>
        </w:rPr>
        <w:t>E. 7</w:t>
      </w:r>
    </w:p>
    <w:p>
      <w:r>
        <w:t>Secondo le norme applicabili, per avere diritto ad una rendita dell'assicurazione invalidità svizzera, un cittadino italiano deve adempiere, cumulativamente, le seguenti condizioni: - essere invalido ai sensi della legge svizzera; - avere versato contributi all'AVS/AI svizzera durante almeno 3 anni (art. 36 LAI).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il ricorrente adempie la condizione della durata minima di contribuzione, alla quale la legge subordina l'erogazione di una rendita. Rimane ora da esaminare se sia invalido ai sensi di legge.</w:t>
      </w:r>
    </w:p>
    <w:p>
      <w:r>
        <w:rPr>
          <w:b/>
        </w:rPr>
        <w:t>E. 8.1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8.3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9</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10.1</w:t>
      </w:r>
    </w:p>
    <w:p>
      <w:r>
        <w:t>Dalla documentazione medica all'incarto e, essenzialmente, dalla perizia medica particolareggiata E 213 del dott. B._______, medico dell'INPDAP, del 25 agosto 2009 (doc. 17), nonché dalle prese di posizione del dott. C._______, medico dell'UAIE, del 6 febbraio e del 16 marzo 2010 (doc. 19 e 36), si evince la diagnosi di esiti da distacco della retina ed afachia all'occhio destro, di cheratocono all'occhio sinistro, di spondiloartrosi e di sindrome depressiva.</w:t>
      </w:r>
    </w:p>
    <w:p>
      <w:r>
        <w:rPr>
          <w:b/>
        </w:rPr>
        <w:t>E. 10.2</w:t>
      </w:r>
    </w:p>
    <w:p>
      <w:r>
        <w:t>Per costante giurisprudenza, le affezioni appena menzionate sono di carattere labile, ossia suscettibili di migliorare o di peggiorare. Così, nell'assenza di uno stato di salute sufficientemente stabilizzato, il ricorrente potrebbe pretendere una rendita dell'assicurazione svizzera per l'invalidità solo a partire dal momento in cui abbia subito, senza interruzione notevole, un'incapacità lavorativa di almeno il 40% durante un anno (art. 28 cpv. 1 lett. b LAI) e, al termine di questo anno, sia invalido almeno al 40% (art. 28 cpv. 1 lett. c LAI).</w:t>
      </w:r>
    </w:p>
    <w:p>
      <w:r>
        <w:rPr>
          <w:b/>
        </w:rPr>
        <w:t>E. 11.1</w:t>
      </w:r>
    </w:p>
    <w:p>
      <w:r>
        <w:t>In concreto, il dott. B._______ ha considerato, nella perizia E 213, che il ricorrente poteva continuare a svolgere a tempo pieno il suo lavoro di collaboratore scolastico, malgrado un grado d'invalidità, secondo il diritto italiano, del 50%. Dal canto suo, il dott. C._______ ha rilevato, nelle sue due prese di posizione, che il danno essenziale alla salute consiste nell'importante diminuzione della vista, che i disturbi depressivi non sono sufficientemente documentati e che i disturbi al rachide non escludono l'abilità al lavoro, concludendo che non sussiste alcuna limitazione fondata ("keine nachvollziehbare Einschränkung") della capacità lavorativa. Anche il dott. E._______ ha formulato, nella sua presa di posizione del 20 luglio 2010 (doc. 39), lo stesso apprezzamento del dott. C._______, sottolineando in modo particolare che dagli atti non si evince alcuna incapacità lavorativa di lunga durata nell'ultima professione esercitata.</w:t>
      </w:r>
    </w:p>
    <w:p>
      <w:r>
        <w:rPr>
          <w:b/>
        </w:rPr>
        <w:t>E. 11.2</w:t>
      </w:r>
    </w:p>
    <w:p>
      <w:r>
        <w:t>Non è tuttavia necessario dirimere questa divergenza negli accertamenti medici, dal momento che la nozione d'invalidità, come già rilevato al consid. 8.5, è di carattere giuridico economico e non medico. Ora, il ricorrente ha svolto dal gennaio 2000 l'attività di collaboratore (bidello) presso un istituto scolastico italiano, sei ore giornaliere e trentasei ore alla settimana, percependo da ultimo un salario mensile di EUR 1'607.20, come gli altri dipendenti della stessa categoria. Dai questionari per l'assicurato e per il datore di lavoro non risulta che egli abbia dovuto assumere lavori più leggeri per motivi di salute e subire, di conseguenza, una perdita di guadagno. Da notare, in questo contesto, che il datore di lavoro ha attestato, per il periodo dal 2006 al 2009, diverse interruzioni del lavoro per infortunio o malattia, in particolare dal 9 novembre 2009 in poi. Almeno fino a quest'ultima data, comunque, il ricorrente ha dimostrato con comportamento concludente, nonostante le lamentate affezioni, le quali non sono, di principio, contestate, di avere posto ad utile profitto in un'occupazione confacente la sua capacità lavorativa in misura superiore al 60% (cfr. consid. 8.2). È necessario ancora rilevare che, contrariamente a quanto affermato dai medici dell'UAIE, il ricorrente non ha molto verosimilmente più ripreso la sua attività lavorativa dopo l'ultima interruzione documentata del novembre 2009. Infatti, dopo che una commissione medica di verifica italiana ha concluso, il 13 gennaio 2010 (doc. 33), ad un'inabilità permanente "al servizio d'istituto in modo assoluto ed a proficuo lavoro in modo relativo", il rapporto di lavoro è stato sciolto con effetto dal 4 maggio 2010. Ciò detto, anche se si dovesse ammettere l'esistenza di un'incapacità lavorativa pensionabile dal novembre 2009, la domanda di rendita d'invalidità dovrebbe tuttavia essere respinta in questa sede, nella misura in cui la data dell'eventuale evento assicurato, ossia nel novembre 2010 al più presto (cfr. consid. 8.3), interverrebbe necessariamente dopo quella della decisione qui impugnata, esorbitando quindi dal periodo di cognizione di questo Tribunale (cfr. consid. 6).</w:t>
      </w:r>
    </w:p>
    <w:p>
      <w:r>
        <w:rPr>
          <w:b/>
        </w:rPr>
        <w:t>E. 12</w:t>
      </w:r>
    </w:p>
    <w:p>
      <w:r>
        <w:t>Visto quanto precede, il ricorso è respinto e la decisione impugnata confermata. È comunque opportuno considerare la replica del ricorrente come un'esplicita nuova domanda di rendita e, per questo motivo, rinviare gli atti all'UAIE perché istruisca la richiesta.</w:t>
      </w:r>
    </w:p>
    <w:p>
      <w:r>
        <w:rPr>
          <w:b/>
        </w:rPr>
        <w:t>E. 13</w:t>
      </w:r>
    </w:p>
    <w:p>
      <w:r>
        <w:t>Secondo l'art. 63 cpv. 1 PA, le spese processuali sono di regola messe a carico della parte soccombente. In concreto, visto l'esito della procedura, le spese processuali di Fr. 300.- sono poste a carico del ricorrente e compensate con l'anticipo dello stesso ammontare, versato il 12 ottobre 2010.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