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C-2811/2013 vom 29. Januar 2014</w:t>
      </w:r>
    </w:p>
    <w:p>
      <w:r>
        <w:t>Bundesverwaltungsgericht, 2014-01-29, FR</w:t>
      </w:r>
    </w:p>
    <w:p>
      <w:r>
        <w:rPr>
          <w:b/>
        </w:rPr>
        <w:t xml:space="preserve">Quelle: </w:t>
      </w:r>
      <w:r>
        <w:t>https://mcp.opencaselaw.ch/entscheid/bvger_C-2811_2013</w:t>
      </w:r>
    </w:p>
    <w:p>
      <w:r>
        <w:t>FR: TAF C-2811/2013 du 29 janvier 2014</w:t>
      </w:r>
    </w:p>
    <w:p>
      <w:r>
        <w:t>IT: TAF C-2811/2013 del 29 gennaio 2014</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(au sens de l'art. 84 al. 5 de la loi fédérale du 16 décembre 2005 sur les étrangers [LEtr, RS 142.20])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La procédure est régie par la PA, à moins que la LTAF n'en dispose autrement (art. 37 LTAF).</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Lorenz Kneubühler, Prozessieren vor dem Bundesverwaltungsge­richt, in Handbücher für die Anwaltspraxis, Tome X, 2ème édition, Bâle 2013, p. 227, ad ch. 3.197; cf. également ATAF 2011/43 consid. 6.1). Aussi peut-elle admettre ou rejeter le pourvoi pour d'autres motifs que ceux invoqués. Dans son arrêt, elle prend en considération l'état de fait existant au moment où elle statue (cf. ATAF 2011/1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de l'ordonnance du 24 octobre 2007 relative à l'admission, au séjour et à l'exercice d'une activité lucrative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circulaires &gt; I. Domaine des étrangers 1. Procédure et répartition des compétences, ch. 1.3.1.1 et 1.3.2 let. d ; état au 25 octobre 2012, consulté le 2 décembre 2013). Il s'ensuit que ni le Tribunal ni l'ODM ne sont liés par la proposition du SMIG du 19 février 2013 (cf. également à ce sujet ATF 130 II 49 consid. 2.1 concernant la procédure d'approbation en vigueur sous l'ancien droit, procédure reprise dans la LEtr, comme relevé ci-avant; Marc Spescha in: Spescha/Thür/Zünd/Bolzli [éd.], Migrationsrecht, 3ème éd., 2012, p. 262-263 ad art. 99; Peter Uebersax, Einreise und Anwesenheit in : Uebersax/Rudin/Hugi Yar/Geiser [éd.], Ausländerrecht, 2ème éd., 2009, p. 300 ch. 7.308 à 7.311). 4.1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4.2 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Migrationsrecht 3ème éd., 2012, p. 240-241 ad art. 84 al. 5 LEtr). Selon l'art. 31 al. 1 OASA, 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 la possibilité de réintégration dans l'Etat de provenance. 4.3 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arrêt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A._______ réside en Suisse depuis mai 1999, y totalisant ainsi un séjour de plus de quatorze ans. Il remplit donc le critère de la durée de résidence mentionné à l'art. 84 al. 5 LEtr. Il faut relever toutefois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 recourant ne saurait tirer parti de la seule durée de son séjour en Suisse pour bénéficier d'une autorisation de séjour en application de l'art. 84 al. 5 LEtr.</w:t>
      </w:r>
    </w:p>
    <w:p>
      <w:r>
        <w:rPr>
          <w:b/>
        </w:rPr>
        <w:t>E. 6.2</w:t>
      </w:r>
    </w:p>
    <w:p>
      <w:r>
        <w:t>S'agissant de l'intégration professionnelle de A._______, le Tribunal constate que depuis son arrivée en Suisse, le prénommé a exercé de multiples activités lucratives, notamment comme technicien de surface et ouvrier. Il ressort des certificats de travail versés au dossier que le recourant est efficace, enthousiaste et ponctuel, donnant entière satisfaction autant par son travail que par son comportement. Il a par ailleurs participé à un cours d'une durée de trois semaines sur le monde du travail en Suisse. Comparée à celle de la moyenne des étrangers présents en Suisse depuis de nombreuses années, l'intégration professionnelle du recourant ne saurait, vu les emplois exercés et la durée de ses rapports de travail, être considérée comme exceptionnelle. En effet, même s'il convient de tenir compte du statut particulier des détenteurs de permis de séjour F, confrontés à des difficultés non négligeables sur le marché du travail (cf. arrêt du Tribunal administratif fédéral C-351/2010 précité consid. 9.3.1), le recourant, dont les qualifications professionnelles restent faibles, n'a, au total, travaillé que durant cinq ans environ sur les plus de quatorze passés en Suisse, la durée de ses contrats s'avérant le plus souvent courte, comme en témoigne ses trois derniers engagements de respectivement un mois et demi, huit et quatre mois et demi (cf. acte du SMIG du 19 février 2013, pp. 2 à 3). Le recourant s'est par ailleurs retrouvé au chômage à trois reprises, pour une période de plus de quatre ans au total. Certes autonome financièrement depuis le 1er janvier 2013, il a toutefois dépendu partiellement ou entièrement de l'aide sociale durant la moitié de son séjour en Suisse, et ce notamment durant plus de trois des cinq dernières années dudit séjour (cf. acte du SMIG du 19 février 2013, pp. 3 à 4 ; attestation du SMIG du 20 septembre 2013). De plus, A._______ fait l'objet de deux poursuites pour un montant total de 930.25 francs et de treize actes de défaut de biens pour un montant total de 6'676.65 francs (cf. extrait du registre des poursuites du 29 janvier 2014). En conséquence, le recourant ne saurait se prévaloir d'une bonne intégration en Suisse sur le plan professionnel.</w:t>
      </w:r>
    </w:p>
    <w:p>
      <w:r>
        <w:rPr>
          <w:b/>
        </w:rPr>
        <w:t>E. 6.3</w:t>
      </w:r>
    </w:p>
    <w:p>
      <w:r>
        <w:t>Il en va de même de son intégration socioculturelle. Le niveau de français de A._______ demeure relativement faible, savoir de A2 à B1, suivant les situations, selon le Cadre européen commun de référence pour les langues (cf. rapport social du SMIG du 10 septembre 2012), au regard de la durée de son séjour en Suisse, soit plus de quatorze ans. Il est ainsi permis de douter de sa volonté d'apprendre cette langue, d'autant plus qu'il ressort du dossier que, depuis son arrivée sur le territoire helvétique, il n'a suivi qu'un seul cours de français, sur une période d'environ un mois et voici plus de six ans (cf. attestation du Centre professionnel (...) du 18 septembre 2012).</w:t>
      </w:r>
    </w:p>
    <w:p>
      <w:r>
        <w:rPr>
          <w:b/>
        </w:rPr>
        <w:t>E. 6.4</w:t>
      </w:r>
    </w:p>
    <w:p>
      <w:r>
        <w:t>En outre, le comportement de A._______ n'est pas exempt de tout reproche. En effet, le prénommé a, le 14 juin 2010, été condamné à une peine pécuniaire de 35 jours-amende à 20 francs, avec sursis pendant deux ans, pour avoir hébergé une ressortissante étrangère séjournant illégalement en Suisse et facilité ce séjour (cf. art. 116 al. 1 let. a LEtr). Il ne saurait être fait totalement abstraction de cette condamnation, dans la pesée des intérêts en présence, même s'il est vrai que celle-ci est relativement ancienne et que le recourant n'a plus récidivé depuis.</w:t>
      </w:r>
    </w:p>
    <w:p>
      <w:r>
        <w:rPr>
          <w:b/>
        </w:rPr>
        <w:t>E. 6.5</w:t>
      </w:r>
    </w:p>
    <w:p>
      <w:r>
        <w:t>Pour ce qui est de la situation familiale de A._______, bien qu'il puisse compter sur la présence en Suisse d'un cousin au bénéfice d'une autorisation de séjour, ses attaches sont en Irak, pays dans lequel résident sa femme, ses deux enfants, sa mère, une soeur et un frère (cf. acte du SMIG du 19 février 2013, p. 5).</w:t>
      </w:r>
    </w:p>
    <w:p>
      <w:r>
        <w:rPr>
          <w:b/>
        </w:rPr>
        <w:t>E. 6.6</w:t>
      </w:r>
    </w:p>
    <w:p>
      <w:r>
        <w:t>Enfin, concernant le critère de l'exigibilité d'un retour dans le pays de provenance (sur cette notion, cf. arrêt du Tribunal administratif fédéral C-1136/2013 du 24 septembre 2013 consid. 6.3.2), le Tribunal constate que A._______, qui n'a allégué aucun problème de santé, a quitté l'Irak à l'âge de 28 ans, pays où il a passé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la jurisprudence citée). Ainsi, le séjour sur territoire suisse du prénommé ne l'a pas rendu totalement étranger à sa patrie. Il n'est en effet pas concevable que ce pays, où il a passé la majeure partie de son existence, lui soit devenu à ce point étranger qu'il ne serait plus en mesure, après une période de réadaptation, d'y retrouver ses repères, cela d'autant que plusieurs membres de sa famille y résident. De plus, comme l'a relevé le Tribunal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w:t>
      </w:r>
    </w:p>
    <w:p>
      <w:r>
        <w:rPr>
          <w:b/>
        </w:rPr>
        <w:t>E. 6.7</w:t>
      </w:r>
    </w:p>
    <w:p>
      <w:r>
        <w:t>A._______ ne peut dès lors, à l'évidence et en dépit de ses allégués, se prévaloir d'un niveau d'intégration suffisant au sens de l'art. 84 al. 5 LEtr.</w:t>
      </w:r>
    </w:p>
    <w:p>
      <w:r>
        <w:rPr>
          <w:b/>
        </w:rPr>
        <w:t>E. 7</w:t>
      </w:r>
    </w:p>
    <w:p>
      <w:r>
        <w:t>Dans son mémoire, le recourant invoque encore une violation du droit au respect de la vie privée au sens l'art. 8 CEDH, estimant qu'il était fortement intégré en Suisse, où il vit depuis plus de quatorze ans. La décision de refus litigieuse n'empêche toutefois pas le recourant de demeurer en Suisse, puisque l'admission provisoire dont il bénéficie n'est aucunement levée. Partant, la décision attaquée ne constitue pas une ingérence dans la vie privée du recourant contraire à l'art. 8 CEDH (cf. arrêt du Tribunal fédéral 2C.766/2009 du 26 mai 2010, consid. 6).</w:t>
      </w:r>
    </w:p>
    <w:p>
      <w:r>
        <w:rPr>
          <w:b/>
        </w:rPr>
        <w:t>E. 8</w:t>
      </w:r>
    </w:p>
    <w:p>
      <w:r>
        <w:t>Il ressort de ce qui précède que, par sa décision du 16 avril 2013, l'ODM n'a ni violé le droit fédéral, ni constaté des faits pertinents de manière inexacte ou incomplète. En outre, cette décision n'est pas inopportune (art. 49 PA). Conséquemment,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