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C-2804/2009 vom 8. August 2011</w:t>
      </w:r>
    </w:p>
    <w:p>
      <w:r>
        <w:t>Bundesverwaltungsgericht, 2011-08-08, DE</w:t>
      </w:r>
    </w:p>
    <w:p>
      <w:r>
        <w:rPr>
          <w:b/>
        </w:rPr>
        <w:t xml:space="preserve">Quelle: </w:t>
      </w:r>
      <w:r>
        <w:t>https://mcp.opencaselaw.ch/entscheid/bvger_C-2804_2009</w:t>
      </w:r>
    </w:p>
    <w:p>
      <w:r>
        <w:t>FR: TAF C-2804/2009 du 8 août 2011</w:t>
      </w:r>
    </w:p>
    <w:p>
      <w:r>
        <w:t>IT: TAF C-2804/2009 del 8 agosto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nicht publiziert in: BGE 129 II 215).</w:t>
      </w:r>
    </w:p>
    <w:p>
      <w:r>
        <w:rPr>
          <w:b/>
        </w:rPr>
        <w:t>E. 3.1</w:t>
      </w:r>
    </w:p>
    <w:p>
      <w:r>
        <w:t>Am 1. Januar 2008 traten das Bundesgesetz vom 16. Dezember 2005 über die Ausländerinnen und Ausländer (AuG, SR 142.20) und seine Ausführungsverordnungen in Kraft - unter anderem die Verordnung vom 24. Oktober 2007 über Zulassung, Aufenthalt und Erwerbstätigkeit (VZAE, SR 142.201). Entsprechend der intertemporalen Ordnung in Art. 126 AuG ist das neue Verfahrensrecht auf alle Verfahren anwendbar (Abs. 2), das neue materielle Recht hingegen nur auf solche, die zum Zeit­punkt des Inkrafttretens nicht bereits rechtshängig waren (Abs. 1; vgl. dazu BVGE 2008/1 E. 2 mit Hinweisen).</w:t>
      </w:r>
    </w:p>
    <w:p>
      <w:r>
        <w:rPr>
          <w:b/>
        </w:rPr>
        <w:t>E. 3.2</w:t>
      </w:r>
    </w:p>
    <w:p>
      <w:r>
        <w:t>Dem Verfahren liegt die Eingabe des Beschwerdeführers vom 7. Oktober 2008 zu Grunde, mit der er um Verlängerung seiner kurz vor dem Ablauf stehenden Aufenthaltsbewilligung ersuchte. Die Streitsache un­tersteht deshalb auch materiellrechtlich dem neuen Recht.</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Ziffer 1.3.1.4 Bst. e der Weisungen des BFM im Ausländerbe­reich in der Fassung vom 1. Juli 2009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C-195/2008 vom 25. Mai 2011 E. 4.1).</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Der Beschwerdeführer beanstandet in formeller Hinsicht, dass die Vorinstanz in ihrer Verfügung keine stichhaltigen Gründe für die Verweigerung der Zustimmung angebe. Öffentliche Interessen, die gegen eine Verlängerung der Aufenthaltsbewilligung sprechen könnten, mache sie überhaupt nicht geltend und die persönlichen Verhältnisse bzw. der Grad seiner Integration seien nicht berücksichtigt worden. Damit sei die Vorinstanz ihrer Begründungspflicht nicht hinreichend nachgekommen und habe seinen Anspruch auf rechtliches Gehör verletzt.</w:t>
      </w:r>
    </w:p>
    <w:p>
      <w:r>
        <w:rPr>
          <w:b/>
        </w:rPr>
        <w:t>E. 5.2</w:t>
      </w:r>
    </w:p>
    <w:p>
      <w:r>
        <w:t>Der in Art. 29 Abs. 2 der Bundesverfassung der Schweizerischen Eidge­nossenschaft vom 18. April 1999 (BV, SR 101)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S. 445; BGE 130 II 530 E. 4.3 S. 540; BGE 129 I 232 E. 3.2 C-3586/2007 S. 236; vgl. auch Lorenz Kneubühler, Die Begründungspflicht, Bern 1998, S. 22 ff.).</w:t>
      </w:r>
    </w:p>
    <w:p>
      <w:r>
        <w:rPr>
          <w:b/>
        </w:rPr>
        <w:t>E. 5.3</w:t>
      </w:r>
    </w:p>
    <w:p>
      <w:r>
        <w:t>Der Beurteilungsmassstab, den die Vorinstanz ihrer Verfügung zu­grunde legt, wird zwar nicht in abstrakter Weise festgehalten. Aus dem Ge­samtzusammenhang der Begründung geht jedoch hinreichend hervor, dass und weshalb die Vorinstanz einen Anspruch des Beschwerdeführers auf Verlängerung der Aufenthaltsbewilligung gestützt auf Art. 50 Abs. 1 Bst. a und b AuG verneinte und eine Wegweisung und deren Vollzug anordnete. Dabei hat sie unter anderem explizit festgehalten, dass sich die bisherige Integration im üblichen Rahmen bewege und nicht als wichtiger Grund für einen weiteren Verbleib des Beschwerdeführers in der Schweiz betrachtet werden könne. Mit dieser und anderen Erwägungen in der angefochtenen Verfügung hat die Vorinstanz den Anforderungen an die Begründungspflicht Genüge getan, sodass der entsprechenden Rüge nicht gefolgt werden kann.</w:t>
      </w:r>
    </w:p>
    <w:p>
      <w:r>
        <w:rPr>
          <w:b/>
        </w:rPr>
        <w:t>E. 6</w:t>
      </w:r>
    </w:p>
    <w:p>
      <w:r>
        <w:t>Der entscheidserhebliche Sachverhalt erschliesst sich, wie nachfolgend zu zeigen sein wird, in genügender Weise aus den Akten. Von Beweiserhebungen, die der Beschwerdeführer nicht weiter begründet auf Rechtsmittelebene beantragt (Parteibefragung und Zeugeneinvernahme des Arbeitgebers), kann in antizipierter Beweiswürdigung ohne Verletzung des rechtlichen Gehörs abgesehen werden (vgl. Art. 33 Abs. 1 VwVG; BGE 131 I 153 E. 3 S. 157 mit Hinweisen; statt mehrerer anderer vgl. auch Urteil des Bundesgerichts 1C_460/2008 vom 3. Februar 2009 E. 3).</w:t>
      </w:r>
    </w:p>
    <w:p>
      <w:r>
        <w:rPr>
          <w:b/>
        </w:rPr>
        <w:t>E. 7.1</w:t>
      </w:r>
    </w:p>
    <w:p>
      <w:r>
        <w:t>Gemäss Art. 42 Abs. 1 AuG haben ausländische Ehegatten von Schwei­zer Bürgern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Fortbestand dieser Bewilligung hängt her­nach nicht mehr vom Zusammenleben der Eheleute ab (vgl. Art. 34 Abs. 1 AuG; Urteil des Bundesgerichts 2C_241/2009 vom 23. September 2009 E. 3). Das Erfordernis des Zusammenlebens nach Art. 42 Abs. 1 AuG be­steht nicht, wenn für getrennte Wohnorte wichtige Gründe geltend ge­macht werden und die familiäre Gemeinschaft weiter besteht (Art. 49 AuG). Der Anspruch aus Art. 42 Abs. 1 AuG erlischt, wenn er rechtsmiss­bräuchlich geltend gemacht wird, namentlich um Vorschriften dieses Geset­zes und seiner Ausführungsbestimmungen über die Zulassung und den Aufenthalt zu umgehen (Art. 51 Abs. 1 Bst. a AuG).</w:t>
      </w:r>
    </w:p>
    <w:p>
      <w:r>
        <w:rPr>
          <w:b/>
        </w:rPr>
        <w:t>E. 7.2</w:t>
      </w:r>
    </w:p>
    <w:p>
      <w:r>
        <w:t>Es ist soweit unbestritten, dass sich die Ehegatten im Oktober 2007 trennten und dafür keine wichtigen Gründe im Sinne von Art. 49 AuG gel­tend machen konnten. Folglich bestand nach diesem Zeitpunkt kein An­spruch mehr auf Verlängerung der Aufenthaltsbewilligung gestützt auf Art. 42 Abs. 1 AuG. Fällt eine weitere Regelung des Aufenthaltes gestützt auf Art. 42 AuG wegen Aufgabe des Familienlebens dahin, so kann sich ein sol­cher Anspruch aus Art. 50 AuG ergeben.</w:t>
      </w:r>
    </w:p>
    <w:p>
      <w:r>
        <w:rPr>
          <w:b/>
        </w:rPr>
        <w:t>E. 8.1</w:t>
      </w:r>
    </w:p>
    <w:p>
      <w:r>
        <w:t>Der Beschwerdeführer macht in seiner Rechtmitteleingabe vom 30. April 2009 unter Berufung auf seine zu diesem Zeitpunkt formell noch bestandene Ehe geltend, er erfülle die zeitlichen Voraussetzungen, die ge­mäss Art. 50 Abs. 1 Bst. a AuG einen Anspruch auf Verlängerung sei­ner Aufenthaltsbewilligung vermittelten. Anrechenbar sei entgegen der Auf­fassung der Vorinstanz nicht nur die Zeit, während der die eheliche Ge­meinschaft in der Schweiz ausländerrechtlich geregelt und tatsächlich gelebt worden sei, sondern die ganze Dauer einer formell bestehenden Ehe.</w:t>
      </w:r>
    </w:p>
    <w:p>
      <w:r>
        <w:rPr>
          <w:b/>
        </w:rPr>
        <w:t>E. 8.2</w:t>
      </w:r>
    </w:p>
    <w:p>
      <w:r>
        <w:t>Der Rechtsauffassung des Beschwerdeführers kann nicht beigepflichtet werden. Nach Art. 50 Abs. 1 Bst. a AuG besteht ein Anspruch des Ehegatten auf Erteilung und Verlängerung der Aufenthaltsbewilligung gemäss Art. 42 AuG weiter, wenn die Ehegemeinschaft mindestens drei Jahre bestanden hat und eine erfolgreiche Integration vorliegt. Anrechenbar an die gesetzliche Mindestdauer der Ehegemeinschaft ist dabei grundsätzlich nur diejenige Zeit, die die Ehegatten in ehelicher Hausgemeinschaft in der Schweiz verbracht haben (vgl. BGE 136 II 113 E. 3.3 S. 117 f.).</w:t>
      </w:r>
    </w:p>
    <w:p>
      <w:r>
        <w:rPr>
          <w:b/>
        </w:rPr>
        <w:t>E. 8.3</w:t>
      </w:r>
    </w:p>
    <w:p>
      <w:r>
        <w:t>Die im Dezember 2004 im Ausland geschlossene Ehe des Beschwer­deführers mit einer Schweizer Bürgerin dauerte bis zu ihrer Scheidung im Januar 2010 zwar länger als fünf Jahre. Allerdings gelangte der Beschwer­deführer erst im November 2005 zu seiner Ehefrau in die Schweiz und wurde auf diesen Termin hin ausländerrechtlich geregelt. Zu­dem trennten sich die Ehegatten bereits im Oktober 2007 definitiv und ohne dass wichtige Gründe im Sinne von Art. 49 AuG von der Pflicht zum Zusammenleben hätten dispensieren können. Ein Anspruch auf Verlänge­rung der Aufenthaltsbewilligung gestützt auf Art. 50 Abs. 1 Bst. a AuG ist deshalb zu verneinen, ohne dass zur Integration des Beschwerdeführers Stellung genommen werden müsste (vgl. dazu Urteil des Bundesgerichts 2C_195/2010 vom 23. Juni 2010 E. 5.2).</w:t>
      </w:r>
    </w:p>
    <w:p>
      <w:r>
        <w:rPr>
          <w:b/>
        </w:rPr>
        <w:t>E. 9.1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9.2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9.3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Gesichtspunkte, die der Rechtsprechung zum schwerwiegenden persönlichen Härtefall nach Art. 13 Bst. f der Verordnung vom 6. Oktober 1986 über die Begrenzung der Zahl der Ausländer (BVO, AS 1986 1791) entstammen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10.1</w:t>
      </w:r>
    </w:p>
    <w:p>
      <w:r>
        <w:t>Im Zusammenhang mit seiner Ehe resp. deren Auflösung sind beim Be­schwerdeführer keine Besonderheiten zu erkennen, die es unter dem Begriff des wichtigen persönlichen Grundes speziell zu berücksichtigen gälte. Die eheliche Gemeinschaft in der Schweiz dauerte nur knapp zwei Jahre. Die Beziehung blieb kinderlos und Gewalt war offensichtlich nicht im Spiel.</w:t>
      </w:r>
    </w:p>
    <w:p>
      <w:r>
        <w:rPr>
          <w:b/>
        </w:rPr>
        <w:t>E. 10.2</w:t>
      </w:r>
    </w:p>
    <w:p>
      <w:r>
        <w:t>Der Beschwerdeführer beruft sich in seinen Eingaben auf eine seiner Auffassung nach weit fortgeschrittene berufliche und soziale Integration. Seit Juni 2006 arbeitet er als Service-Aushilfe im Restaurant eines Alters­heims; anfänglich drei bis sechs Stunden pro Woche, heute offenbar 30 bis 40% eines Vollpensums. Daneben erbringt er seit November 2006 etwa 60% als Aushilfskraft bei der Firma Z._______. Letzterer Arbeitgeber hat dem Beschwerdeführer nach dessen Trennung von der Ehefrau eine Unterkunft besorgt und ihm Weiterbildung in Form von Sprach- und Computerkursen ermöglicht. Der Be­schwerdeführer wird von seinen Arbeitgebern, von Mitarbeitenden und Pensionären des Altersheims gleichsam als einfühlsam, sympathisch und zuverlässig bezeichnet. Er verdiene mit seinen beiden Arbeitsstellen zwi­schen 3'500 und 3'900 Franken netto pro Monat, sei immer wirtschaftlich selbständig und nie auf Sozialhilfe angewiesen gewesen. Schliesslich be­tont einer der Arbeitgeber, der Geschäftsführer der Firma Z._______, noch speziell seine Interes­sen daran, die Dienste des Beschwerdeführers im Betrieb auch weiterhin in Anspruch nehmen zu können. In Bezug auf die soziale Integration in der Schweiz wird in der abschliessenden Stellungnahme einerseits auf die Wohnverhältnisse (bestehende Wohngemeinschaft mit dem Vater des Geschäftsführers der Firma Z._______, dem er im Haushalt zur Hand geht und den er auch sonst begleitet) und andererseits auf bestehende enge Kontakte zu Schweizer Bürgern sowie auf ein grosses, verlässliches Beziehungsnetz verwiesen, ohne allerdings näher darauf einzugehen. Der Beschwerdeführer hat zweifellos in der Vergangenheit Anstrengun­gen unternommen, um sich hier in der Schweiz eine wirtschaftliche Exis­tenz und ein soziales Umfeld aufbauen zu können. Das scheint ihm so­weit auch geglückt zu sein. Er gilt offenbar als konstanter, von seinem Um­feld geachteter Arbeitnehmer, hat bei einem seiner Arbeitgeber familiären Anschluss gefunden und sich auch um Weiterbildung bemüht. In diesen Verhältnissen sind aber keine ausserordentlichen Umstände zu er­blicken, die eine Rückkehr ins Heimatland als unzumutbar erscheinen lassen und den weiteren Aufenthalt in der Schweiz geradezu gebieten würden. Eine besonders enge Beziehung zur Schweiz im Sinne kulturel­ler und sozialer Betätigungen wird zwar behauptet, jedoch nicht weiter of­fen gelegt.</w:t>
      </w:r>
    </w:p>
    <w:p>
      <w:r>
        <w:rPr>
          <w:b/>
        </w:rPr>
        <w:t>E. 10.3</w:t>
      </w:r>
    </w:p>
    <w:p>
      <w:r>
        <w:t>Der Beschwerdeführer macht weiter geltend, dass seine Wiedereingliederung im Heimatland stark gefährdet wäre. Während er dazu in seiner Beschwerde nur gerade vermerken liess, seine Existenz in Kambodscha wäre nicht gesichert, machte er in der abschliessenden Ein­gabe vom 30. Mai 2011 geltend, eine Rückkehr in die Heimat wäre für ihn "nur sehr schwer zu bewältigen". Die Kontakte seien über die Jahre ab­gebrochen und er stünde sowohl in wirtschaftlicher wie auch in persönli­cher Hinsicht vor dem gänzlichen Neubeginn. Auch habe er sich derart stark an die hiesigen Lebensformen und Bräuche gewöhnt, dass er sich in der kambodschanischen Kultur nicht mehr zurechtfinden würde. Der pau­schale Einwand vermag nicht zu überzeugen: Der Be­schwerde­füh­rer ist in Kambodscha geboren, aufgewachsen und war vor sei­nem Weg­zug in die Schweiz dort auch berufstätig ("guide fran­cophone"). Er hat seine Heimat nicht etwa unter dem Druck wirtschaftli­cher oder politi­scher Unzulänglichkeiten, sondern als Folge seiner Heirat mit einer Schwei­zer Bürgerin verlassen. Entsprechend kann davon ausgegangen werden, dass er dort ein familiäres, soziales und berufliches Umfeld zurückgelassen hat. Dass unter solchen Umständen in einem Zeitraum von knapp sechs Jahren alle sozialen Bindungen verloren gegangen sein sollen, ist unwahrscheinlich. Selbst wenn davon ausgegangen werden müsste, dass der Beschwerdeführer solche Beziehungen seit seiner Ab­reise aus Kambodscha nicht mehr gepflegt hat - was an sich schon erklä­rungsbedürftig wäre - könnte nicht ohne Weiteres angenommen werden, dass sie nicht wieder reaktivierbar wären. Zur Existenz von Familienan­gehörigen im Heimatland hat sich der Beschwerdeführer bezeich­nenderweise überhaupt nicht geäussert und gerade Werte, wie die von ihm selbst im Zusammenhang mit der Integration in der Schweiz betonte Beständigkeit am Arbeitsplatz, aber auch berufliche Erfahrungen und neu erworbene Sprachkenntnisse dürften ihm bei einer Rückkehr nach Kambodscha zu einer vergleichsweise guten Ausgangslage verhelfen.</w:t>
      </w:r>
    </w:p>
    <w:p>
      <w:r>
        <w:rPr>
          <w:b/>
        </w:rPr>
        <w:t>E. 11</w:t>
      </w:r>
    </w:p>
    <w:p>
      <w:r>
        <w:t>Nach dem bisher Gesagten kann der Beschwerdeführer weder gestützt auf Art. 50 Abs. 1 Bst. a AuG noch gestützt auf Art. 50 Abs. 1 Bst. b AuG einen Anspruch auf Verlängerung der Aufenthaltsbewilli­gung geltend machen. Die Verweigerung der Zustimmung zur Verlänge­rung der Aufenthaltsbewilligung ist demnach nicht zu beanstanden.</w:t>
      </w:r>
    </w:p>
    <w:p>
      <w:r>
        <w:rPr>
          <w:b/>
        </w:rPr>
        <w:t>E. 12</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Akten ergeben, ist die angefochtene Verfügung auch unter diesem Gesichtspunkt zu Recht ergan­gen.</w:t>
      </w:r>
    </w:p>
    <w:p>
      <w:r>
        <w:rPr>
          <w:b/>
        </w:rPr>
        <w:t>E. 13</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14</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