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C-27/2016 vom 31. Mai 2018</w:t>
      </w:r>
    </w:p>
    <w:p>
      <w:r>
        <w:t>Bundesverwaltungsgericht, 2018-05-31, FR</w:t>
      </w:r>
    </w:p>
    <w:p>
      <w:r>
        <w:rPr>
          <w:b/>
        </w:rPr>
        <w:t xml:space="preserve">Quelle: </w:t>
      </w:r>
      <w:r>
        <w:t>https://mcp.opencaselaw.ch/entscheid/bvger_C-27_2016</w:t>
      </w:r>
    </w:p>
    <w:p>
      <w:r>
        <w:t>FR: TAF C-27/2016 du 31 mai 2018</w:t>
      </w:r>
    </w:p>
    <w:p>
      <w:r>
        <w:t>IT: TAF C-27/2016 del 31 maggio 2018</w:t>
      </w:r>
    </w:p>
    <w:p>
      <w:pPr>
        <w:pStyle w:val="Heading2"/>
      </w:pPr>
      <w:r>
        <w:t>Regeste</w:t>
      </w:r>
    </w:p>
    <w:p>
      <w:r>
        <w:t>Admission d'hôpitaux (canton)</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Selon l'art. 33 let. i LTAF, les décisions d'autorités cantonales sont susceptibles de recours devant le Tribunal administratif fédéral dans la mesure où d'autres lois fédérales le prévoient. Aux termes des art. 90a al. 2 et 53 al. 1 LAMal, le Tribunal administratif fédéral connaît des recours contre les décisions des gouvernements cantonaux en matière d'admission des établissements hospitaliers à pratiquer à charge de l'assurance obligatoire des soins, au sens de l'art. 39 LAMal (ATAF 2012/30 consid. 1).</w:t>
      </w:r>
    </w:p>
    <w:p>
      <w:r>
        <w:rPr>
          <w:b/>
        </w:rPr>
        <w:t>E. 1.2</w:t>
      </w:r>
    </w:p>
    <w:p>
      <w:r>
        <w:t>La procédure est régie par la LTAF et par la PA en vertu de l'art. 37 LTAF et de l'art. 53 al. 2 LAMal, pour autant que la LTAF n'en dispose pas autrement et sous réserve des exceptions énoncées à l'al. 2 de l'art. 53 LAMal qui ont trait à la rationalisation de la procédure, laquelle limite notamment les échanges d'écriture et ne permet pas d'invoquer le grief d'opportunité (art. 53 al. 2 let. d et e LAMal).</w:t>
      </w:r>
    </w:p>
    <w:p>
      <w:r>
        <w:rPr>
          <w:b/>
        </w:rPr>
        <w:t>E. 1.3</w:t>
      </w:r>
    </w:p>
    <w:p>
      <w:r>
        <w:t>Interjeté le 4 janvier 2016, le recours a été déposé dans le délai de 30 jours prévu à l'art. 50 PA (en relation avec l'art. 20 PA). En outre, respectant les formes requises par la loi (art. 52 PA), et l'avance de frais ayant été dûment acquittée (TAF pce 7), le recours est recevable.</w:t>
      </w:r>
    </w:p>
    <w:p>
      <w:r>
        <w:rPr>
          <w:b/>
        </w:rPr>
        <w:t>E. 1.4</w:t>
      </w:r>
    </w:p>
    <w:p>
      <w:r>
        <w:t>La décision attaquée concerne la fixation par le Conseil d'Etat du canton de Genève de la liste hospitalière 2015 pour l'année 2016, dans laquelle la clinique recourante n'a pas été retenue. Dans ce contexte, il sied de rappeler qu'en application de la jurisprudence de la Cour de céans, en principe seule la décision qui régit le rapport juridique de la recourante peut constituer l'objet du recours ; les autres décisions de la liste hospitalière qui n'ont pas été contestées entrent en vigueur (ATAF 2012/9 consid. 3.3 ; arrêt du Tribunal administratif fédéral C-426/2012 du 5 juillet 2013 consid. 1.3.1). Ainsi, l'objet du litige est circonscrit à la question de savoir si c'est à juste titre que l'autorité de première instance a refusé de faire figurer la Clinique sur la liste hospitalière genevoise 2015, pour l'année 2016.</w:t>
      </w:r>
    </w:p>
    <w:p>
      <w:r>
        <w:rPr>
          <w:b/>
        </w:rPr>
        <w:t>E. 1.5</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En l'espèce, la recourante, qui a participé à la procédure de planification ayant conduit à l'adoption de la liste hospitalière 2015, est sans aucun doute, en tant qu'établissement hospitalier n'ayant pas été autorisé à figurer sur la liste des hôpitaux admis à pratiquer à charge de l'assurance obligatoire des soins, particulièrement touchée par l'arrêté querellé et a un intérêt digne de protection à son annulation ou à sa modification. Partant, elle est légitimée à recourir.</w:t>
      </w:r>
    </w:p>
    <w:p>
      <w:r>
        <w:rPr>
          <w:b/>
        </w:rPr>
        <w:t>E. 2</w:t>
      </w:r>
    </w:p>
    <w:p>
      <w:r>
        <w:t>La recourante fait en premier lieu valoir que le Conseil d'Etat ne lui a pas laissé la possibilité de se déterminer avant que la décision ne soit prononcée, ni même ne l'a informée qu'une telle décision serait prochainement rendue. Elle se plaint ainsi d'une violation du droit d'être entendu. Or, de nature formelle, ce droit est une règle primordiale de procédure dont la violation entraîne en principe l'annulation de la décision attaquée sans égard aux chances de succès du recours sur le fond (Andreas Auer/Giorgio Malinverni/Michel Hottelier, Droit constitutionnel suisse, vol. II, Les droits fondamentaux, 2e éd., Berne 2006, n. 1346 ; ATF 134 V 97), si bien qu'il convient de l'examiner en premier lieu. En effet, si l'autorité de recours constate la violation du droit d'être entendu, elle renvoie la cause à l'instance inférieure qui devra entendre la personne concernée et adopter une nouvelle décision en la motivant, quand bien même sur le fond, cette nouvelle décision ne s'écartera pas de la solution qu'elle avait retenue lors de la décision annulée (ATF 125 I 113 consid. 3).</w:t>
      </w:r>
    </w:p>
    <w:p>
      <w:r>
        <w:rPr>
          <w:b/>
        </w:rPr>
        <w:t>E. 2.1</w:t>
      </w:r>
    </w:p>
    <w:p>
      <w:r>
        <w:t>Compris comme l'un des aspects de la notion générale de procès équitable au sens de l'art. 29 de la Constitution fédérale de la Confédération suisse du 18 avril 1999 (Cst., RS 101), le droit d'être entendu comprend le droit de s'exprimer, le droit de consulter le dossier, le droit de faire administrer des preuves et de participer à l'administration de celles-ci, le droit d'obtenir une décision motivée et le droit de se faire représenter ou assister (ATF 137 IV 33 consid. 9.2, ATF 136 I 265 consid. 3.2 et les références; ATAF 2010/35 consid. 4.1.2). Le droit d'être entendu est consacré, en procédure administrative fédérale, par les art. 26 à 28 PA (droit de consulter les pièces), par les art. 29 à 33 PA (droit d'être entendu stricto sensu) et par l'art. 35 PA (droit d'obtenir une décision motivée).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(arrêt du Tribunal fédéral 8C_861/2012 du 20 août 2013 consid. 5.2 et les références). Ainsi, la garantie du droit d'être entendu implique en particulier que l'administré soit informé de l'objet de la procédure et du contenu prévisible de la décision envisagée à son égard. Elle implique également la possibilité de se prononcer sur l'appréciation juridique des faits et l'argumentation juridique, dans la mesure où l'autorité envisage de fonder sa décision sur une norme ou un motif qu'aucune des parties à la procédure n'a invoqué jusque-là ou dont elles ne pouvaient supputer la pertinence (Thierry Tanquerel, Manuel de droit administratif, 2011,no 1529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(arrêt du Tribunal fédéral 8C_861/2012 du 20 août 2013 consid. 5.2 et les références).</w:t>
      </w:r>
    </w:p>
    <w:p>
      <w:r>
        <w:rPr>
          <w:b/>
        </w:rPr>
        <w:t>E. 2.2</w:t>
      </w:r>
    </w:p>
    <w:p>
      <w:r>
        <w:t>L'autorité inférieure fait en l'espèce valoir que l'intéressée a été informée dès les mois d'octobre 2014 qu'elle ne figurerait pas sur la nouvelle liste hospitalière 2015, et que la nouvelle décision attaquée n'était ainsi que le prolongement d'une première procédure durant laquelle la recourante a régulièrement été en mesure de faire valoir son point de vue.</w:t>
      </w:r>
    </w:p>
    <w:p>
      <w:r>
        <w:rPr>
          <w:b/>
        </w:rPr>
        <w:t>E. 2.2.1</w:t>
      </w:r>
    </w:p>
    <w:p>
      <w:r>
        <w:t>Il faut en premier lieu constater que l'intéressée n'a pas été formellement invitée à exposer son point de vue avant le prononcé de la décision attaquée, ce que l'autorité inférieure ne conteste par ailleurs pas. Le Tribunal relève en effet que la recourante n'a été informée que par courrier du 2 décembre 2015 qu'une seconde décision pour l'année 2016 allait être prononcée à son égard ; ladite décision étant elle-même datée du 2 décembre 2015 (voir supra, let. D), l'intéressée n'a dès lors pas été invitée à exposer ses arguments avant que ladite décision attaquée ne soit rendue. On ne saurait, dans ce contexte, suivre l'autorité inférieure lorsqu'elle affirme que la recourante a eu l'occasion de faire valoir son point de vue sur la question de la couverture des besoins de la population genevoise et de la nécessité de ses prestations dans ce contexte avant que la décision attaquée ne soit rendue. En effet, il sied tout d'abord de relever que la décision du 2 décembre 2015 (qui constatait que les besoins de la population genevoise étaient couverts) s'écarte sensiblement de la motivation exposée dans la première décision attaquée du 24 juin 2015 (laquelle portait spécifiquement sur la qualité des prestations offertes par l'établissement) ; or si ladite décision du 24 juin 2015 faisait certes mention du rapport du 11 novembre 2014, elle citait celui-ci spécifiquement en relation avec la question de la qualité des prestations offertes par la Clinique, et donc sans faire état de la question des besoins de la population genevoise en matière de soins. Dès lors, le Tribunal constate que l'ensemble des points de vues échangés à cette époque, tant avant le prononcé de la décision du 24 juin 2015, que durant la procédure de recours C-4631/2015, de même que les échanges entre les parties dans le courant de l'année 2015 qui ressortent du dossier, portaient uniquement sur la question de la qualité des prestations offertes au sein de l'établissement (voir notamment, à ce titre, le courrier du 25 septembre 2015 « Suivi et remédiation des inspections des 24 février et 25 juin 2015 » [TAF pces 3, annexe 27], ainsi que le courriel du 7 décembre 2015 constatant que la recourante a remédié aux carences constatées [TAF pces 3, annexe 28]). L'intéressée ne pouvait ainsi s'attendre à ce qu'une nouvelle décision négative soit rendue sur la base d'une autre motivation que celle ayant trait à la qualité des prestations offertes, et n'a donc pas été en mesure de s'exprimer en connaissance de cause avant son prononcé. Certes, l'autorité inférieure fait dans ce contexte valoir que ses observations du 6 novembre 2015, rédigées dans le cadre de la procédure de recours C-4631/2015, constataient entre autres que les besoins de la population étaient couverts et que les prestations de la recourante n'étaient pas nécessaires à la planification cantonale ; elle estime ainsi que l'intéressée était à ce moment en mesure de se prononcer sur les futurs motifs qui allaient fonder la décision du 2 décembre 2015. Il faut toutefois relever que suite à ces observations de l'autorité inférieure, ce n'est que le 15 décembre 2015 que le Tribunal de céans a invité la recourante à prendre position sur lesdites observations (voir TAF pces 17 et 19 de la cause C-4631/2015). Ainsi, l'autorité inférieure, en rendant sa décision le 2 décembre 2015, n'a dans tous les cas pas attendu que l'intéressée prenne position sur cette question pour rendre la présente décision attaquée. Dès lors, même s'il fallait admettre que la seule phrase (par ailleurs abstraite, peu étayée et mentionnée sommairement par l'autorité inférieure) figurant dans ces observations qui portait sur la question des besoins de la population en matière de soins invitait implicitement la recourante à exercer à ce moment-là son droit d'être entendu en vue d'une seconde décision, il faudrait alors constater que l'autorité de première instance n'a pas attendu d'entendre l'intéressée avant de rendre la décision attaquée. Le Tribunal constate ainsi qu'en rendant sa décision du 2 décembre 2015, l'autorité inférieure n'a pas préalablement donné l'occasion à la recourante de prendre position sur l'appréciation juridique des faits et l'argumentation juridique qui ont ensuite fondé ladite décision attaquée (voir supra, consid. 2.1).</w:t>
      </w:r>
    </w:p>
    <w:p>
      <w:r>
        <w:rPr>
          <w:b/>
        </w:rPr>
        <w:t>E. 2.2.2</w:t>
      </w:r>
    </w:p>
    <w:p>
      <w:r>
        <w:t>Il faut encore relever que l'intéressée, qui n'avait pas été informée qu'elle allait faire l'objet d'une nouvelle décision, ne pouvait pas même s'attendre à ce qu'une telle décision portant sur l'année 2016 soit rendue à son égard. En effet, le Tribunal de céans, dans le cadre de la procédure de recours C-4631/2015, avait restitué l'effet suspensif au recours porté contre la décision du 24 juin 2015, ce qui avait eu pour effet de maintenir l'établissement concerné pour toute la durée de ladite procédure sur la liste hospitalière 2015, et ce jusqu'à ce que la cause soit jugée sur le fond (voir en ce sens ATAF 2010/15 consid. 8.2 et les références ; voir encore supra, let. C.c et E.c). Ainsi, et contrairement à ce qu'affirme l'autorité inférieure, la recourante ne pouvait se douter qu'une nouvelle décision refusant de l'inscrire sur la liste cantonale pour l'année 2016 serait rendue, dans la mesure où son inscription pour cette année demeurait de par l'effet suspensif accordé à son recours. Il en résulte qu'en plus de ne pas avoir été informée par avance des motifs qui allaient fonder une nouvelle décision, la recourante n'a pas même été informée de l'existence d'une nouvelle procédure conduite par l'autorité inférieure en vue de rendre une décision pour l'année 2016 (voir supra, consid. 2.1).</w:t>
      </w:r>
    </w:p>
    <w:p>
      <w:r>
        <w:rPr>
          <w:b/>
        </w:rPr>
        <w:t>E. 2.3</w:t>
      </w:r>
    </w:p>
    <w:p>
      <w:r>
        <w:t>Ainsi, force est de constater qu'en ne permettant pas à la recourante de mettre en évidence son point de vue de manière efficace avant qu'une nouvelle décision pour l'année 2016 ne soit rendue, l'autorité de première instance a violé le droit d'être entendu de la recourante (voir supra, consid. 2.1).</w:t>
      </w:r>
    </w:p>
    <w:p>
      <w:r>
        <w:rPr>
          <w:b/>
        </w:rPr>
        <w:t>E. 2.4</w:t>
      </w:r>
    </w:p>
    <w:p>
      <w:r>
        <w:t>Il reste à examiner les conséquences de cette violation du droit d'être entendu.</w:t>
      </w:r>
    </w:p>
    <w:p>
      <w:r>
        <w:rPr>
          <w:b/>
        </w:rPr>
        <w:t>E. 2.4.1</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Häfelin/Müller/Uhlmann, Allgemeines Verwaltungsrecht, 7e éd., Zurich/Saint-Gall 2016, n. 1175 ; Auer/Malinverni/Hottelier, op. cit., n. 1347s). Ce pouvoir d'examen, en fait et en droit, ne doit d'aucune façon être limité par rapport à celui de l'autorité de première instance et il ne doit en résulter aucun préjudice pour l'intéressé (ATF 137 I 195 consid. 2.3.2; 133 I 201 consid. 2.2, ATF 132 V 387 consid. 5.1, ATF 127 V 431 consid. 3d/aa, ATF 116 V 182 consid. 3d; arrêts du TAF A-4353/2010 du 28 septembre 2010 consid. 3.1.2, A-102/2010 du 20 avril 2010 consid. 3.3 et A-7391/2008 du 19 octobre 2009 consid. 4.1.3; Moser/Beusch/Kneubühler, op. cit., n. 3.112 s.). La réparation d'un vice éventuel doit par ailleurs demeurer l'exception (ATF 127 V 431 consid. 3d/aa; ATF 126 V 130 consid. 2b). En l'espèce, le Tribunal de céans ne jouissant pas d'un plein pouvoir d'examen en la matière puisque l'art. 53 al. 2 LAMal exclut le contrôle de l'opportunité, une guérison du droit d'être entendu n'entre donc pas en ligne de compte (ATAF 2013/46 consid. 6.3.7). Ainsi déjà, pour le seul motif de la violation du droit d'être entendu, le recours doit être admis et la cause renvoyée à l'autorité inférieure pour nouvelle décision ; celle-ci, quelle que soit son issue, prendra effet pour l'avenir, conformément à la jurisprudence du Tribunal de céans (ATAF 2010/15 consid. 8.2 et les références).</w:t>
      </w:r>
    </w:p>
    <w:p>
      <w:r>
        <w:rPr>
          <w:b/>
        </w:rPr>
        <w:t>E. 3.1</w:t>
      </w:r>
    </w:p>
    <w:p>
      <w:r>
        <w:t>Selon l'art. 63 al. 1 PA, en règle générale, les frais de procédure sont mis à la charge de la partie qui succombe. Compte tenu de l'issue du litige pour la recourante, il n'est pas perçu de frais de procédure (art. 63 al. 1 et 2 PA). En conséquence, l'avance de frais de CHF 4'000.- déjà versée par la recourante (TAF pce 7) lui sera restituée sur le compte bancaire qu'elle aura désigné, une fois le présent arrêt entré en force.</w:t>
      </w:r>
    </w:p>
    <w:p>
      <w:r>
        <w:rPr>
          <w:b/>
        </w:rPr>
        <w:t>E. 3.2</w:t>
      </w:r>
    </w:p>
    <w:p>
      <w:r>
        <w:t>En vertu de l'art. 64 al. 1 PA, l'autorité de recours peut allouer, d'office ou sur requête, à la partie ayant entièrement ou partiellement gain de cause une indemnité pour les frais indispensables et relativement élevés qui lui sont occasionnés. En l'absence de note de frais, l'indemnisation doit être déterminée sur la base du dossier. Il se justifie en l'espèce, compte tenu de la particularité du cas et au regard du travail accompli, d'allouer à la recourante une indemnité à titre de dépens de CHF 5'000.- (TVA comprise) à charge de l'autorité de première instance.</w:t>
      </w:r>
    </w:p>
    <w:p>
      <w:r>
        <w:rPr>
          <w:b/>
        </w:rPr>
        <w:t>E. 4</w:t>
      </w:r>
    </w:p>
    <w:p>
      <w:r>
        <w:t>Les décisions en matière d'assurance-maladie rendues par le Tribunal administratif fédéral en application de l'art. 33 let. i LTAF et des art. 53 al. 1 et 90a LAMal ne pouvant pas être attaquées devant le Tribunal fédéral, le présent arrêt est définitif, conformément à l'art. 83 let. r de la loi du 17 juin 2005 sur le Tribunal fédéral (LTF, RS 173.110 avec rectificatif de la disposition précitée). La présente décision est donc finale et entre en force dès sa notification (arrêt du TAF C-2989/2014 du 19 décembre 2017 consid. 12 et les références citées).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