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C-27/2015 vom 25. Juni 2015</w:t>
      </w:r>
    </w:p>
    <w:p>
      <w:r>
        <w:t>Bundesverwaltungsgericht, 2015-06-25, FR</w:t>
      </w:r>
    </w:p>
    <w:p>
      <w:r>
        <w:rPr>
          <w:b/>
        </w:rPr>
        <w:t xml:space="preserve">Quelle: </w:t>
      </w:r>
      <w:r>
        <w:t>https://mcp.opencaselaw.ch/entscheid/bvger_C-27_2015</w:t>
      </w:r>
    </w:p>
    <w:p>
      <w:r>
        <w:t>FR: TAF C-27/2015 du 25 juin 2015</w:t>
      </w:r>
    </w:p>
    <w:p>
      <w:r>
        <w:t>IT: TAF C-27/2015 del 25 giugno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 Moser et al., op. cit., p. 24 ch.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 voir également ATF 135 II 1 consid. 1.1 ; ATAF 2014/1 consid. 4.1.1 ; 2011/48 consid. 4.1 ;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 2011/48consid.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TAF C-2942/2013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qu'il est un ressortissant de la République d'Irak, B._______ est soumis à l'obligation du visa.</w:t>
      </w:r>
    </w:p>
    <w:p>
      <w:r>
        <w:rPr>
          <w:b/>
        </w:rPr>
        <w:t>E. 5.1</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l'autorité de première instance a refusé d'autoriser l'entrée en Suisse de B._______ au motif que son départ à l'échéance du visa sollicité n'apparaissait pas suffisamment assuré.</w:t>
      </w:r>
    </w:p>
    <w:p>
      <w:r>
        <w:rPr>
          <w:b/>
        </w:rPr>
        <w:t>E. 6.1</w:t>
      </w:r>
    </w:p>
    <w:p>
      <w:r>
        <w:t>In casu, le Tribunal ne saurait d'emblée écarter les craintes émises par l'autorité inti­mée, du fait notamment de la situation qui prévaut en Irak sur le plan sécuritaire, social et économique. Il convient de prendre en considération la qualité de vie et les conditions économiques et sociales particulièrement difficiles que connaît l'ensemble de la population en Irak, pays dont le produit intérieur brut (PIB) par habitant s'élevait à environ 6'861 USD en 2013 (tandis qu'il s'élevait à la même époque à environ USD 84'742 pour la Suisse [source: le site internet de la Banque mondiale: http://donnees.banquemondiale.org/pays/irak et http://donnees.banquemondiale.org/pays/suisse consultés en juin 2015]). En effet, l'Irak a recouvré sa pleine souveraineté en 2005, après l'adoption par référendum d'une Constitution qui instaure une république fédérale, démocratique et parlementaire. Dans le cadre de cette république fédérale, la Constitution prévoit la possibilité pour un ou plusieurs gouvernorats, il en existe dix-huit, de constituer une région. Il n'existe pour l'instant qu'une seule région constituée, la région autonome du Kurdistan irakien qui regroupe 5,3 millions d'habitants dans les trois gouvernorats de Dohuk, Erbil et Souleimaniyeh et est administrée par le Gouvernement régional kurde (GRK). Sur le plan politique, l'Irak connaît une situation de crise durable. A la suite du départ des troupes américaines, le 18 décembre 2011, la politique menée par le Premier ministre a conduit à une détérioration de la situation intérieure irakienne. Les tensions avec les Kurdes ont également atteint un niveau inédit avec l'annonce, en juillet 2014, par le président de la région du Kurdistan, de l'organisation prochaine d'un référendum d'indépendance. Sur le plan sécuritaire, la situation s'est fortement dégradée. Le 5 juin 2014, une insurrection rassemblant des tribus, d'anciens cadres baathistes et la mouvance jihadiste, a lancé une offensive contre les provinces sunnites de l'ouest et du centre du pays, dont elle a pris rapidement le contrôle. Le 10 juin 2014, le groupe terroriste Daech s'est emparé de Mossoul, la seconde ville d'Irak. Face aux besoins urgents des troupes kurdes au nord de l'Irak et à la menace qui pesait sur Erbil, quatorze pays, dont la France, ont livré au GRK des armes et des munitions. L'avancée rapide de Daech en août 2014 dans le nord de l'Irak et dans la province d'Anbar a mis en lumière le danger immédiat pesant sur l'Irak et a conduit à une aggravation brutale de la situation humanitaire. Alors, que 500'000 personnes avaient déjà fui les affrontements internes dans tout le pays et s'étaient réfugiées en majorité dans la région du Kurdistan irakien, la progression de Daech a conduit un nombre croissant de personnes à fuir vers Erbil. Ainsi, le nombre de déplacés depuis le début de l'année 2014 a été de 1,9 millions de personnes. Sur le plan économique, le conflit armé actuel auquel le pays est en proie menace le potentiel irakien en hydrocarbures, dont certaines raffineries sont désormais sous le contrôle de Daech qui se finance en partie grâce à ces ressources pétrolières. Les réformes entrent progressivement en vigueur mais la corruption reste un problème majeur. Enfin, après trente ans de guerre et d'embargo, le taux de chômage est très important, 18,5% selon le BIT et 30% selon un relevé non officiel (cf. Ministère français des affaires étrangères, France Diplomatie, http : //www.diplomatie.gouv.fr, &gt; Pays-zones géo &gt; Irak &gt; Présentation de l'Irak, mise à jour le 21 novembre 2014, consulté en juin 2015). Dès lors, les conditions économiques difficiles et la situation humanitaire précaire prévalant en Irak ne sont pas sans exercer une pression migratoire importante. Ainsi, durant l'année 2014, 363 ressortissants irakiens ont déposé une demande d'asile en Suisse (cf. les statistiques établies par le SEM, état au 31.12.2014, en ligne sur le site https://www.bfm.admin.ch &gt; Publications et service &gt; Statistiques en matière d'asile &gt; Statistiques annuelles ; consulté en juin 2015). Cette tendance migratoire est encore renforcée, comme l'expérience l'a démontré, lorsque la personne concernée peut s'appuyer à l'étranger sur un réseau social (ami, parent) préexistant, comme cela est le cas en l'espèce. Aussi l'argument mis en avant par le recourant, tiré de la situation économique aisée de son invité Kurde (cf. mémoire de recours, p.3), doit-il être fortement relativisé, dans la mesure où pareil élément n'est pas susceptible de garantir, en tant que tel, le retour de B._______ dans son pays d'origine au terme du séjour envisagé en Suisse.</w:t>
      </w:r>
    </w:p>
    <w:p>
      <w:r>
        <w:rPr>
          <w:b/>
        </w:rPr>
        <w:t>E. 6.2</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 (cf. ATAF 2014/1 consid. 6.3.1 ; 2009/27 consid. 7 et 8).</w:t>
      </w:r>
    </w:p>
    <w:p>
      <w:r>
        <w:rPr>
          <w:b/>
        </w:rPr>
        <w:t>E. 7</w:t>
      </w:r>
    </w:p>
    <w:p>
      <w:r>
        <w:t>Sans vouloir minimiser l'importance des motifs d'ordre amical et familial sur lesquels B._______ fonde sa demande d'autorisation d'entrée en Suisse, à savoir effectuer un séjour auprès de son ami et de son frère afin de mieux connaître la famille, la ville et la culture de son hôte (cf. opposition du 18 août 2014 et courrier du 27 janvier 2015), le Tribunal ne saurait admettre, au vu de l'ensemble des éléments du dossier, que la sortie du territoire helvétique de l'intéressé au terme du séjour envisagé soit suffisamment garantie.</w:t>
      </w:r>
    </w:p>
    <w:p>
      <w:r>
        <w:rPr>
          <w:b/>
        </w:rPr>
        <w:t>E. 7.1</w:t>
      </w:r>
    </w:p>
    <w:p>
      <w:r>
        <w:t>En l'occurrence, il ressort des renseignements qui ont été communi­qués aux autorités suisses que l'intéressé, âgé actuellement de trente-six ans et demi, est marié et père de quatre enfants mineurs. Sur le plan professionnel, B._______ possède et exploite un magasin d'alimentation dans la ville de X._______. Propriétaire de sa maison d'habitation, l'intéressée possède également une automobile.</w:t>
      </w:r>
    </w:p>
    <w:p>
      <w:r>
        <w:rPr>
          <w:b/>
        </w:rPr>
        <w:t>E. 7.2</w:t>
      </w:r>
    </w:p>
    <w:p>
      <w:r>
        <w:t>Certes, le recourant assure dans le cadre de la procédure de recours que son ami retournera à l'issue du séjour projeté dans son pays d'origine, où vivent son épouse et ses quatre enfants mineurs. Même s'il convient d'admettre que de tels liens peuvent, dans une certaine mesure, inciter une personne, au terme du séjour envisagé en Suisse, à retourner dans le pays où elle réside, ils ne sauraient, notamment dans le contexte politique et socio-économique dans lequel se trouve l'Irak, suffire toutefois, à eux seuls, à garantir le retour de cette personne dans cet Etat. Il ne faut pas perdre de vue à cet égard que la qualité de vie et la situation socio-économique et sécuritaire prévalant en Suisse sont autant de facteurs susceptibles d'inciter l'intéressé, une fois arrivée en ce pays, à y entreprendre, cas échéant par l'intermédiaire de son frère auquel il souhaite également rendre visite, les formalités nécessaires en vue d'y prolonger son séjour, pour quelque motif que ce soit, tout en envisageant de se faire ensuite rejoindre sur territoire helvétique par son épouse et ses enfants.</w:t>
      </w:r>
    </w:p>
    <w:p>
      <w:r>
        <w:rPr>
          <w:b/>
        </w:rPr>
        <w:t>E. 7.3</w:t>
      </w:r>
    </w:p>
    <w:p>
      <w:r>
        <w:t>En outre, le fait que B._______ exploite un commerce d'alimentation à X._______ et qu'il y soit propriétaire d'un bien immobilier et d'une voiture (cf. recours du 30 décembre 2014 p. 3 et courrier du 27 janvier 2015 et pièces jointes) n'est pas davantage susceptible de représenter un facteur déterminant dans l'appréciation du cas. Il ne faut pas en effet perdre de vue que la Suisse connaît un niveau de vie sensiblement supérieur à celui de l'Irak et que cette circonstance peut s'avérer décisive lorsqu'une personne prend la décision de quitter sa patrie. Dans ce contexte, outre le fait que le requérant souhaite effectuer un séjour de visite en Suisse durant un mois, alors qu'il vient d'agrandir son commerce d'alimentation (cf. recours précité p.3), tend à démontrer qu'il dispose de personnes de confiance au pays à même de le remplacer durant une période relativement longue dans la gestion de son magasin et que les liens avec son pays d'origine ne sont pas aussi étroits qu'il ne le prétend. Au demeurant, le Tribunal ne décèle aucun élément dans le dossier permettant de conclure que la situation matérielle de B._______ se trouverait péjorée si celui-ci prenait la décision de demeurer sur territoire helvétique à l'expiration de son visa pour y engager des formalités administratives en vue de s'installer durablement dans ce pays. Pareille hypothèse paraît d'autant plus vraisemblable si l'on prend en considération la situation en Suisse du frère du requérant, C._______, qui a lui-même déposé une demande d'asile à l'occasion de sa venue en ce pays, en février 1999 et qui malgré le rejet définitif de cette requête, confirmé sur recours le 31 décembre 2002, a finalement obtenu une autorisation de séjour à titre humanitaire le 20 mars 2007. Il est dès lors évident que la présence en Suisse de ce frère pourrait également faciliter la poursuite du séjour de l'intéressé en ce pays. Pareille circonstance, ajoutée aux autres éléments du dossier, accrédite non seulement les craintes formulées par les autorités helvétiques sur l'effectivité de la sortie de Suisse de B._______ à l'échéance du visa sollicité, mais jette encore de sérieux doutes quant au but de son séjour (cf. art. 12 al. 2 let. c OEV), comme l'a d'ailleurs relevé à juste titre l'Ambassade de Suisse à Amman.</w:t>
      </w:r>
    </w:p>
    <w:p>
      <w:r>
        <w:rPr>
          <w:b/>
        </w:rPr>
        <w:t>E. 8</w:t>
      </w:r>
    </w:p>
    <w:p>
      <w:r>
        <w:t>Au demeurant, il sied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déclaration de prise en charge financière du 15 octobre 2014).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 une fois en Suisse, ne tente d'y poursuivre durablement son existence, ce dernier conservant seule la maîtrise de son comportement. Le fait que le recourant se propose de verser aux autorités suisses une caution financière dont la restitution n'interviendrait qu'après le départ de son invité du territoire helvétique (cf. opposition du 18 août 2014 p. 2) n'est point susceptible de modifier l'analyse qui précède.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9.1</w:t>
      </w:r>
    </w:p>
    <w:p>
      <w:r>
        <w:t>Par surabondance, il convient encore de relever qu'un refus d'auto­risation d'entrée en Suisse prononcé par les autorités helvétiques n'a pas en l'occurrence pour conséquence d'empêcher tant B._______ que son ami et son frère vivant en Suisse de se voir, ces derniers pouvant tout aussi bien se rencontrer hors de Suisse, notamment en Irak, comme ils l'ont fait en fin d'année 2013, début 2014.</w:t>
      </w:r>
    </w:p>
    <w:p>
      <w:r>
        <w:rPr>
          <w:b/>
        </w:rPr>
        <w:t>E. 9.2</w:t>
      </w:r>
    </w:p>
    <w:p>
      <w:r>
        <w:t>Par ailleurs, A._______ et son invité n'ont pas invoqué de motifs susceptibles de justifier la délivrance en faveur de l'intéressé d'un visa à validité territoriale limitée (visa VTL ; cf. consid. 4.2 supra).</w:t>
      </w:r>
    </w:p>
    <w:p>
      <w:r>
        <w:rPr>
          <w:b/>
        </w:rPr>
        <w:t>E. 10</w:t>
      </w:r>
    </w:p>
    <w:p>
      <w:r>
        <w:t>Sans pour autant minimiser l'importance des raisons d'ordre affectif qui motivent sa demande, le Tribunal ne saurait admettre, au vu de l'ensemble des éléments du dossier, que le retour de B._______ dans sa patrie au terme de l'autorisation requise puisse être considéré comme suffi­samment assuré. Les conditions d'entrée prévues par le code frontières Schengen concernant la garantie que le prénommé quittera la Suisse dans le délai fixé n'étant pas remplies in casu, c'est donc de manière fon­dée que l'autorité de première instance a écarté l'opposition du 18 août 2014 et confirmé le refus d'octroyer à l'intéressé une autorisation d'entrée dans l'Espace Schengen.</w:t>
      </w:r>
    </w:p>
    <w:p>
      <w:r>
        <w:rPr>
          <w:b/>
        </w:rPr>
        <w:t>E. 11</w:t>
      </w:r>
    </w:p>
    <w:p>
      <w:r>
        <w:t>Il s'ensuit que, par sa décision du 27 novembre 2014,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