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C-27/2012 vom 28. Juni 2013</w:t>
      </w:r>
    </w:p>
    <w:p>
      <w:r>
        <w:t>Bundesverwaltungsgericht, 2013-06-28, FR</w:t>
      </w:r>
    </w:p>
    <w:p>
      <w:r>
        <w:rPr>
          <w:b/>
        </w:rPr>
        <w:t xml:space="preserve">Quelle: </w:t>
      </w:r>
      <w:r>
        <w:t>https://mcp.opencaselaw.ch/entscheid/bvger_C-27_2012</w:t>
      </w:r>
    </w:p>
    <w:p>
      <w:r>
        <w:t>FR: TAF C-27/2012 du 28 juin 2013</w:t>
      </w:r>
    </w:p>
    <w:p>
      <w:r>
        <w:t>IT: TAF C-27/2012 del 28 giugno 2013</w:t>
      </w:r>
    </w:p>
    <w:p>
      <w:pPr>
        <w:pStyle w:val="Heading2"/>
      </w:pPr>
      <w:r>
        <w:t>Regeste</w:t>
      </w:r>
    </w:p>
    <w:p>
      <w:r>
        <w:t>Révision de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w:t>
      </w:r>
    </w:p>
    <w:p>
      <w:r>
        <w:t>Dans l'assurance-invalidité, des rentes ne sont octroyées à des assurés étrangers résidant à l'étranger que si cela est prévu dans un traité avec le pays concerné. En l'occurrence, le recourant est ressortissant du Kosovo et y a aujourd'hui son domicile. La Suisse a conclu de nouveaux traités de sécurité sociales avec divers Etats successeurs de l'ex-Yougoslavie, mais pas avec le Kosovo. Dans la présente procédure, selon la jurisprudence, la convention du 8 juin 1962 entre la Confédération suisse et la République populaire fédérative de Yougoslavie relative aux assurances sociales (RS 0.831.109.818.1) ainsi que l'arrangement administratif du 5 juillet 1963 concernant les modalités d'application de la convention relative aux assurances sociales entre la Confédération suisse et la République populaire fédérative de Yougoslavie (RS 0.831.109.818.12) restent applicables (cf. arrêt du Tribunal administratif fédéral C-4828/2010 du 7 mars 2011; ATF 126 V 198 consid. 2b, ATF 122 V 381 consid. 1 et ATF 119 V 98 consid. 3; cf. aussi art. 17 al. 2 lit. a de la convention).</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2008, sauf mention contraire. Ne sont en revanche pas applicables les dispositions de la 6ème révision de la LAI (premier volet) en vigueur dès le 1er janvier 2012 (RO 2011 5659, FF 2010 1647). En ce qui concerne les faits déterminant selon la jurisprudence, le Tribunal de céans doit se limiter à examiner la situation de fait existant jusqu'à la date de la décision attaquée (ATF 130 V 4450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6.5</w:t>
      </w:r>
    </w:p>
    <w:p>
      <w:r>
        <w:t>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(arrêt du Tribunal fédéral I 564/02 du 13 janvier 2004 consid. 5 = Pratique VSI 2004 p. 188; cf. ATF 131 V 362 consid. 2.3). Le Tribunal fédéral a, pour sa part, admis la réciprocité de cette règle à l'égard de l'assurance-invalidité en jugeant que celle-ci n'était pas liée, dans la mesure d'une complète motivation fondant une divergence (ATF 126 V 288), par l'évaluation de l'invalidité en application des critères de l'assurance-accidents, avec comme conséquence que l'office AI n'avait pas qualité pour faire opposition à la décision ni pour recourir contre la décision sur opposition de l'assureur-accidents concernant le droit à la rente en tant que tel ou le taux d'invalidité (ATF 133 V 549). Les évaluations selon l'assurance-accidents et l'assurance-invalidité, fondées sur des critères différents car l'assurance-accident prend en compte le rapport de causalité adéquate entre l'accident et l'invalidité alors que ce critère n'est pas déterminant pour l'assurance-invalidité, sont donc indépendantes (cf. arrêt du Tribunal fédéral 8C_558/2008 du 17 mars 2009 consid. 2.3; Valterio, Droit de l'assurance-vieillesse et survivants (AVS) et de l'assurance-invalidité (AI), Zurich 2011, n° 2053 s.). Cette indépendance des décisions n'implique toutefois pas que des expertises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Alfred Maurer / Gustavo Scartazzini / Marc Hürzeler, Bundessozialversicherungsrecht, 3ème éd. Bâle 2009, § 10 n° 39 ss) - n'a pas limité le champ d'investigation de l'expertise.</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7.3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w:t>
      </w:r>
    </w:p>
    <w:p>
      <w:r>
        <w:t>En l'espèce, le recourant a bénéficié d'une rente entière d'invalidité à partir du 1er juin 1991 selon la décision du 23 septembre 1994 de l'OAI-GE (AI pces 23 et 24). Lors des révisions de rente en 1997, 2002 et 2004, l'OAIE n'a pas procédé a un examen matériel approfondi de l'état de santé, mais s'est fié aux indications de l'assuré et des médecins traitant pour confirmer les mêmes prestations que jusqu'alors par communications des 14 avril 1998, 3 décembre 2002 et 15 juin 2004 (AI pces 63, 83 et 97). La question de savoir si le degré d'invalidité du recourant a subi une modification doit par conséquent être jugée en comparant les faits tels qu'ils se présentaient le 23 septembre 1994 et ceux qui ont existé à la date de la décision litigieuse du 18 novembre 2011.</w:t>
      </w:r>
    </w:p>
    <w:p>
      <w:r>
        <w:rPr>
          <w:b/>
        </w:rPr>
        <w:t>E. 9</w:t>
      </w:r>
    </w:p>
    <w:p>
      <w:r>
        <w:t>Alors que l'OAIE base la suppression de la rente entière versée depuis le 1er juin 1991 sur une amélioration de l'état de santé depuis novembre 2010, le recourant argue que sa santé est restée la même depuis l'accident de la circulation qu'il a subi en 1990.</w:t>
      </w:r>
    </w:p>
    <w:p>
      <w:r>
        <w:rPr>
          <w:b/>
        </w:rPr>
        <w:t>E. 9.1</w:t>
      </w:r>
    </w:p>
    <w:p>
      <w:r>
        <w:t>Un peu plus de deux ans après l'accident de la circulation où l'assuré avait subi une fracture pédiculaire de la vertèbre C5, l'Office régional AI avait relevé dans son rapport du 7 décembre 1992 la présence de cervico-brachialgies déficitaires ainsi que d'une lésion médullaire ayant laissé une hémispasticité droite et de troubles localisés multiples, les médecins de l'OAI-GE ayant constaté un manque de force, des tremblements incontrôlés (spasticité) de la jambe droite et du bras droit ainsi qu'un blocage partiel du côté droit (AI pce 5). Une observation professionnelle du 26 mai au 23 juin 1993 avait laissé apparaître, outre les limites physiques importantes, des perturbations sur le plan psychologique par le sentiment de perte totale, de difficultés de fonctionnement, d'atteinte globale et irréversible de son intégrité (AI pce 11).</w:t>
      </w:r>
    </w:p>
    <w:p>
      <w:r>
        <w:rPr>
          <w:b/>
        </w:rPr>
        <w:t>E. 9.2</w:t>
      </w:r>
    </w:p>
    <w:p>
      <w:r>
        <w:t>Selon le rapport d'expertise du Centre C._______ du 9 février 2011 (AI pce 192), l'assuré a déclaré souffrir des mêmes symptômes que trois semaines après l'accident de la circulation de 1990, à savoir douleurs de la nuque, faiblesse et paralysie de la jambe droite et du bras droit ainsi que vertiges. Il a estimé pouvoir marcher au plus pendant 15 à 20 minutes, rester assis pendant 30 minutes et rester debout pendant 10 minutes. Les experts ont constaté une discrépance entre les plaintes subjectives et les constatations objectives ainsi que des inconsistances dans le comportement de l'assuré, qui leur est apparu autolimitatif et démonstratif. Le recourant réagit plus violemment à la palpation au niveau de la colonne cervico-thoracique qu'au niveau de la colonne cervicale moyenne et haute, alors qu'il présente les plus grandes anomalies aux niveaux plus élevés. Il se plaint aussi de régions de la colonne plus basse alors que celles-ci n'ont pas été blessées dans l'accident de 1990. Les experts n'ont pas constaté de paralysies. Le tonus musculaire est symétrique aussi bien en position assise, couchée ou debout. Le recourant n'a boité lors de l'expertise que lorsqu'il se sentait observé. Les plaintes du recourant n'ont pas pu être expliquées par des raisons médicales. Les experts ont conclu qu'il s'agissait de persévération et de simulation. Les images de résonance magnétique du 24 octobre 2009 ne documentent pas une délimitation claire d'une myélopathie et une neurocompression n'était plus présente au moment de l'examen. Quand l'assuré ne se sentait pas observé, les médecins ont remarqué que l'assuré utilisait sa main droite sans restriction, ils ont constaté que la musculature et la corne, symétriques à toutes les extrémités, étaient en contradiction avec les indications de l'assuré qui prétendait qu'il devait se ménager dans la vie de tous les jours. Les experts du Centre C._______ ont retenu comme seuls diagnostics limitant la capacité de travail un léger spasme post-traumatique après myélopathie cervicale traumatique avec fracture bien consolidée de la cinquième vertèbre cervicale en 1990 et un léger syndrome cervical avec spondylose cervicale et uncarthrose. La myélopathie, présente en 1990, contrairement aux pronostics pessimistes de l'époque, s'est, selon les experts du Centre C._______, nettement améliorée ces 20 dernières années. Du point de vue objectif, les fonctions moteur peuvent être considérées comme bonnes. La capacité de travail n'est limitée que dans le sens que l'assuré doit éviter les activités pénibles pour la colonne cervicale, les expositions au froid et aux courants d'air, aux vibrations ainsi que les travaux en position forcée ou en-dessus de la tête de manière prolongée. Pour cette raison, la dernière activité de peintre n'est plus exigible, par contre toute autre activité respectant les limitations fonctionnelles mentionnées est exigible à 100 % depuis la date de l'expertise (AI pce 192 page 18). Selon l'expert psychiatre du Centre C._______, l'assuré ne présente plus aucun diagnostic psychiatrique, en particulier les critères qui permettraient d'attester un trouble somatoforme persistent n'étaient pas ou plus remplis lors de l'expertise en novembre 2010. Donc, du point de vue psychiatrique, la dernière activité exercée ou toute autre activité était exigible à 100 % (AI pce 192 page 35).</w:t>
      </w:r>
    </w:p>
    <w:p>
      <w:r>
        <w:rPr>
          <w:b/>
        </w:rPr>
        <w:t>E. 9.3</w:t>
      </w:r>
    </w:p>
    <w:p>
      <w:r>
        <w:t>Dans sa prise de position du 21 février 2011, le Dr B._______ a estimé que l'expertise pluridisciplinaire du Centre C._______ prenait en compte tous les rapports précédents et l'anamnèse était complète, clairement motivée et sans contradiction. Cette expertise répondant à tous les critères posés par la jurisprudence, il fallait retenir ses conclusions et considérer que l'assuré, grâce à une nette amélioration de son état de santé, avait retrouvé une capacité de travail de 100 % dans une activité adaptée (AI pce 195).</w:t>
      </w:r>
    </w:p>
    <w:p>
      <w:r>
        <w:rPr>
          <w:b/>
        </w:rPr>
        <w:t>E. 9.4</w:t>
      </w:r>
    </w:p>
    <w:p>
      <w:r>
        <w:t>Le Tribunal de céans considère dès lors que, conformément à l'avis unanime des experts du Centre C._______ et du médecin de l'OAIE confirmé par les résultats des images de résonance magnétique effectuées en 2009 et en 2011, l'état de santé de l'assuré s'est nettement amélioré depuis l'octroi de la rente en 1994 aussi bien sur la plan somatique que sur le plan psychique. Le Tribunal fait sienne l'évaluation de la capacité de travail des experts du Centre C._______ et considère que l'assuré présente, au moins depuis novembre 2010, une capacité de travail de 100 % dans une activité adaptée à ses limitations fonctionnelles, l'expertise du Centre C._______ étant consistante, bien motivée et répondant à tous les critères posés par la jurisprudence.</w:t>
      </w:r>
    </w:p>
    <w:p>
      <w:r>
        <w:rPr>
          <w:b/>
        </w:rPr>
        <w:t>E. 10.1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Les revenus à comparer doivent être évalués de manière aussi concrète que possible si bien qu'il convient, dans la mesure du possible, de se référer aux salaires réellement gagnés par l'assuré avant et après la survenance des problèmes de santé. A défaut d'un salaire de référence, un salaire théorique doit être évalué sur la base des statistiques salariales. Dans le cas où le salaire d'invalide est déterminé d'après les données retenues par les enquêtes suisses sur la structure des salaires (ESS), publiées par l'Office fédéral de la statistique (OFS), il doit être réduit afin de tenir compte des circonstances personnelles et professionnelles du cas particulier (limitations liées au handicap, âge, années de service, nationalité/catégorie d'autorisation de séjour et taux d'occupation). La hauteur de la réduction relève en premier lieu de l'office AI qui dispose pour cela d'un large pouvoir d'appréciation. La jurisprudence n'admet cependant à ce titre pas de déduction globale supérieure à 25 % (ATF 126 V 75 consid. 5). Le juge des assurances sociales ne peut, sans motif pertinent, substituer son appréciation à celle de l'administration (ATF 126 cité consid. 6).</w:t>
      </w:r>
    </w:p>
    <w:p>
      <w:r>
        <w:rPr>
          <w:b/>
        </w:rPr>
        <w:t>E. 10.2</w:t>
      </w:r>
    </w:p>
    <w:p>
      <w:r>
        <w:t>L'office intimé a correctement déterminé le salaire avec invalidité d'après les données statistiques suisses et le niveau 4 concernant les activités corporelles légères que le recourant peut encore assumer avec un rendement de 100 % de la norme. Il a pris une moyenne des revenus selon l'ESS 2008, tableau TA1, niveau 4, secteur des services collectifs et personnels (avec un horaire usuel de 41,8 heures par semaine) ainsi que commerce de gros, intermédiaires du commerce (avec un horaire usuel de 41,9 heures par semaine) et retenu un salaire mensuel de 4'782.76 francs avant abattement. Eu égard au fait que le recourant ne peut plus exercer que des activités adaptées à ses limitations fonctionnelles, l'OAIE a pratiqué un abattement de 15 %. Une telle diminution apparaît justifiée. Le revenu avec invalidité à prendre en considération s'élève ainsi à 4'065.35 francs par mois. Pour fixer le revenu sans invalidité, l'OAIE s'est basé sur les indications du dernier employeur selon les documents de la SUVA. Selon ces indications, le recourant aurait gagné 20.- francs par heure en 1995 comme peintre sans atteinte à la santé (dossier SUVA), ce qui, en tenant compte de l'évolution des salaires nominaux jusqu'en 2008 (année de référence pour le salaire avec invalidité), correspond à un salaire sans invalidité en 2008 de 5'399.60 francs par mois. La comparaison des revenus sans et avec invalidité fait apparaître une perte de gain de 24,71 % ([Fr. 5'399.60.- - Fr. 4'065.35.-] x 100 : Fr. 5'399.60). Ce taux ne donne plus droit à une rente d'invalidité suisse, conformément à ce que l'OAIE a retenu dans sa décision attaquée.</w:t>
      </w:r>
    </w:p>
    <w:p>
      <w:r>
        <w:rPr>
          <w:b/>
        </w:rPr>
        <w:t>E. 11.1</w:t>
      </w:r>
    </w:p>
    <w:p>
      <w:r>
        <w:t>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11.2</w:t>
      </w:r>
    </w:p>
    <w:p>
      <w:r>
        <w:t>Le Tribunal considère qu'une réadaptation par soi-même pouvait être exigée lors de la suppression de la rente fin 2011. En effet, si on tient compte que l'assuré mène visiblement une vie active depuis plusieurs années, vu sa musculature bien développée aussi bien à droite qu'à gauche et ses pieds et mains recouverts d'une couche de corne. Une phase d'aide transitoire ne paraît pas nécessaire et il est tout à fait possible au recourant de mettre à profit sa capacité résiduelle de travail sur un marché équilibré de l'emploi.</w:t>
      </w:r>
    </w:p>
    <w:p>
      <w:r>
        <w:rPr>
          <w:b/>
        </w:rPr>
        <w:t>E. 12</w:t>
      </w:r>
    </w:p>
    <w:p>
      <w:r>
        <w:t>Au vu de ce qui précède, il appert que la décision du 18 novembre 2011 doit être confirmée et le recours rejeté. Le présent arrêt rend sans objet la demande de restitution de l'effet suspensif (cf. entre autres arrêts du Tribunal fédéral 8C_254/2011 du 7 juillet 2011 consid. 2, 9C_198/2011 du 11 novembre 2011 consid. 6.2. et 9C_254/2011 du 15 novembre 2011 consid. 7 in fine).</w:t>
      </w:r>
    </w:p>
    <w:p>
      <w:r>
        <w:rPr>
          <w:b/>
        </w:rPr>
        <w:t>E. 13.1</w:t>
      </w:r>
    </w:p>
    <w:p>
      <w:r>
        <w:t>Vu l'issue de la cause, les frais de procédure, fixés par le Tribunal de céans à 400 francs,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13.2</w:t>
      </w:r>
    </w:p>
    <w:p>
      <w:r>
        <w:t>Il n'est pas alloué de dépens (art. 64 al. 1PA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