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C-2795/2010 vom 13. Juli 2011</w:t>
      </w:r>
    </w:p>
    <w:p>
      <w:r>
        <w:t>Bundesverwaltungsgericht, 2011-07-13, FR</w:t>
      </w:r>
    </w:p>
    <w:p>
      <w:r>
        <w:rPr>
          <w:b/>
        </w:rPr>
        <w:t xml:space="preserve">Quelle: </w:t>
      </w:r>
      <w:r>
        <w:t>https://mcp.opencaselaw.ch/entscheid/bvger_C-2795_2010</w:t>
      </w:r>
    </w:p>
    <w:p>
      <w:r>
        <w:t>FR: TAF C-2795/2010 du 13 juillet 2011</w:t>
      </w:r>
    </w:p>
    <w:p>
      <w:r>
        <w:t>IT: TAF C-2795/2010 del 13 luglio 2011</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(voir le consid. 1.2 de l'arrêt 2A_451/2002 du 28 mars 2003, partiellement publié in ATF 129 II 215).</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art. 86 al. 1 OASA). Sur le plan formel, le nouveau droit, entré en vigueur le 1er janvier 2008, prévoit à l'art. 86 al. 2 let. a et c OASA que l'ODM refuse d'approuver l'octroi de l'autorisation initiale et le renouvellement notamment lorsque les conditions d'admission ne sont plus remplies. En conséquence, la compétence décisionnelle appartient à la Confédération et ni le Tribunal, ni l'ODM ne sont liés par la décision de l'OCP/GE du 11 février 2010 d'accorder une autorisation de séjour à l'intéressé et peuvent donc parfaitement s'écarter de l'appréciation faite par cette autorité.</w:t>
      </w:r>
    </w:p>
    <w:p>
      <w:r>
        <w:rPr>
          <w:b/>
        </w:rPr>
        <w:t>E. 4.1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(cf. sur cette disposition l'arrêt du Tribunal fédéral 2C_759/2010 du 28 janvier 2011 consid. 4.2). Après un séjour légal ininterrompu de cinq ans, le conjoint a droit à l'octroi d'une autorisation d'établissement (art. 42 al. 3 LEtr). Encore faut-il que, durant ce laps de temps, il ait vécu en ménage commun sans pouvoir invoquer l'art. 49 LEtr (cf. Martina Caroni, in : Martina Caroni, Thomas Gächter, Daniela Thurnherr, Bundesgesetz über die Ausländerinnen und Ausländer [AuG], Berne 2010, ad art. 42, §55 p. 402; Marc Spescha, Hanspeter Thür, Andreas Zünd, Peter Bolzli, Migrationsrecht, Zurich 2009, ad art. 42 ch. 9 p. 107).</w:t>
      </w:r>
    </w:p>
    <w:p>
      <w:r>
        <w:rPr>
          <w:b/>
        </w:rPr>
        <w:t>E. 4.2</w:t>
      </w:r>
    </w:p>
    <w:p>
      <w:r>
        <w:t>Force est de constater, en l'espèce, que le ménage commun du couple a pris fin, qu'il a duré moins de cinq ans et que les conditions de l'art. 49 LEtr ne sont pas remplies. En effet, l'épouse de l'intéressé a quitté définitivement le domicile conjugal le 2 novembre 2009. Ainsi, après plus d'un an et demi de vie séparée et compte tenu de la lettre du 2 novembre 2009 de sa conjointe, A._______ ne peut soutenir que la communauté familiale est maintenue et se prévaloir de raisons majeures justifiant l'existence de domiciles séparés. Au contraire, son épouse a bien précisé dans dite lettre qu'elle quittait le domicile conjugal en vue de s'en créer un nouveau en France parce qu'elle ne s'entendait plus avec le prénommé.</w:t>
      </w:r>
    </w:p>
    <w:p>
      <w:r>
        <w:rPr>
          <w:b/>
        </w:rPr>
        <w:t>E. 5.1</w:t>
      </w:r>
    </w:p>
    <w:p>
      <w:r>
        <w:t>Selon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Le législateur a ainsi voulu que les autorités examinent si le droit à l'octroi ou au renouvellement de l'autorisation de séjour après dissolution de la famille doit être maintenu au regard des dispositions précitées et que celles-là n'aient plus, contrairement à l'ancien droit, de pouvoir d'appréciation pour délivrer une telle autorisation, ce qui devrait favoriser une certaine harmonisation des pratiques cantonales s'agissant de l'octroi d'un droit de séjour (voir le Message du Conseil fédéral concernant la loi sur les étrangers du 8 mars 2002 in FF 2002 3512 ch. 1.3.7.6 ; l'ATF 137 II 1 consid. 3.1 avant-dernier paragraphe). L'examen de l'art. 50 al. 1 LEtr requiert une attention particulière. En effet, il y a lieu vérifier si le renvoi de Suisse de l'étranger constitue un cas de rigueur. Dans ce contexte, la situation personnelle de l'intéressé sera déterminante. A l'art. 50 al. 1 let. a LEtr, le législateur a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(voir en ce sens l'ATF 137 II 1 précité consid. 4.1).</w:t>
      </w:r>
    </w:p>
    <w:p>
      <w:r>
        <w:rPr>
          <w:b/>
        </w:rPr>
        <w:t>E. 5.2</w:t>
      </w:r>
    </w:p>
    <w:p>
      <w:r>
        <w:t>L'art. 50 al. 2 LEtr précise que les "raisons personnelles majeures" sont notamment données lorsque le conjoint est victime de violences conjugales et que la réintégration dans le pays de provenance semble fortement compromise (voir aussi l'art. 77 OASA, qui reprend la teneur de l'art. 50 al. 2 LEtr). Selon la jurisprudence (arrêt du Tribunal fédéral 2C_376/2010 du 18 août 2010 consid. 6.3.1 et la jurisprudence citée), l'art. 50 al. 1 let. b et al. 2 LEtr a pour vocation d'éviter les cas de rigueur ou d'extrême gravité qui peuvent être provoqués notamment par la violence conjugale, le décès du conjoint ou les difficultés de réintégration dans le pays d'origine. Ces dispositions ne sont pas exhaustives (voir à ce propos l'arrêt du Tribunal fédéral 2C_195/2010 du 23 juin 2010 consid. 6.2). Les violences conjugales ou la réintégration fortement compromise dans le pays d'origine peuvent revêtir une importance et un poids différents dans cette appréciation et, selon leur intensité, suffire isolément à admettre l'existence de raisons personnelles majeures (ATF 136 II 1 consid. 5.3).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(l'ATF 137 II 1 précité consid. 4.1).</w:t>
      </w:r>
    </w:p>
    <w:p>
      <w:r>
        <w:rPr>
          <w:b/>
        </w:rPr>
        <w:t>E. 6.1</w:t>
      </w:r>
    </w:p>
    <w:p>
      <w:r>
        <w:t>La notion d'union conjugale de l'art. 50 al. 1 let. a LEtr ne se confond pas avec le mariage. Alors que ce dernier peut être purement formel, l'union conjugale implique en principe la vie en commun des époux, sous réserve des exceptions mentionnées à l'art. 49 LEtr (voir l'ATF 136 II 113 consid. 3.1 et 3.2 ; l'arrêt du Tribunal fédéral 2C_195/2010 du 23 juin 2010 consid. 3 et la jurisprudence citée). Selon un arrêt de principe rendu par le Tribunal fédéral (ATF 136 II 113 consid. 3.3), est seule décisive la durée de la vie commune en Suisse pour déterminer si l'union conjugale a duré au moins trois ans au moment de sa dissolution au sens de l'art. 50 al. 1 let. a LEtr ; la durée effectuée dans le cadre du mariage hors de Suisse n'est pas prise en compte.</w:t>
      </w:r>
    </w:p>
    <w:p>
      <w:r>
        <w:rPr>
          <w:b/>
        </w:rPr>
        <w:t>E. 6.1.1</w:t>
      </w:r>
    </w:p>
    <w:p>
      <w:r>
        <w:t>En l'espèce, le recourant a contracté mariage avec une Suissesse en date du 2 août 2006 et est entré en Suisse le 20 janvier 2007. La vie commune des époux en Suisse n'a donc débuté qu'à partir du 20 janvier 2007. La cessation de la vie commune ayant eu lieu le 2 novembre 2009, la durée requise par l'art. 50 al. 1 let. a ab initio LEtr n'est pas atteinte, contrairement à l'avis du recourant. S'agissant de conditions cumulatives, il n'y a en conséquence pas lieu d'examiner si l'intégration du recourant peut être considérée comme réussie au sens de l'art. 50 al. 1 let. a in fine LEtr.</w:t>
      </w:r>
    </w:p>
    <w:p>
      <w:r>
        <w:rPr>
          <w:b/>
        </w:rPr>
        <w:t>E. 6.2</w:t>
      </w:r>
    </w:p>
    <w:p>
      <w:r>
        <w:t>Cela étant, il sied d'examiner encore si la poursuite du séjour en Suisse du recourant s'impose pour des raisons personnelles majeures au sens de l'art. 50 al. 1 let. b LEtr.</w:t>
      </w:r>
    </w:p>
    <w:p>
      <w:r>
        <w:rPr>
          <w:b/>
        </w:rPr>
        <w:t>E. 6.2.1</w:t>
      </w:r>
    </w:p>
    <w:p>
      <w:r>
        <w:t>Comme déjà rappelé, l'art. 50 al. 1 let. b et al. 2 LEtr a pour vocation d'éviter les cas de rigueur ou d'extrême gravité qui peuvent être provoqués notamment par les violences conjugales, le décès du conjoint ou des difficultés de réintégration dans le pays d'origine. En l'espèce, les deux premiers cas de figure évoqués ci-dessus n'entrent pas en ligne de compte. S'agissant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et familiale, seraient gravement compromises (voir à ce sujet, l'arrêt du Tribunal fédéral 2C_708/2009 du 12 avril 2010 consid. 6.1 avec renvoi à thomas geiser/marc busslinger, Ausländische Personen als Ehepartner und registrierte Partnerinnen, in Handbücher für die Anwaltspraxis, Band VIII, Ausländerrecht, Eine umfassende Darstellung der Rechtsstellung von Ausländerinnen und Ausländern in der Schweiz von A(syl) bis Z(ivilrecht), 2ème éd., Peter Uebersax/Beat Rudin/Thomas Hugi Yar/Thomas Geiser [éd.], Bâle 2009, ch. 14.54 p. 681). En l'occurrence, le recourant a passé en Algérie son enfance, son adolescence et les premières années de sa vie d'adulte, années qui apparaissent comme essentielles pour la formation de la personnalité et, partant, pour l'intégration sociale et culturelle (voir à ce sujet l'ATAF 2007/45 consid. 7.6 pp. 597s. et la jurisprudence citée). Il s'impose de souligner que A._______ a des attaches familiales dans son pays d'origine, où vivent ses parents. Le recourant a vécu vingt-sept ans dans son pays d'origine, environ deux ans en France et un peu plus de quatre ans en Suisse. Durant ces années en Suisse, le prénommé a travaillé moins de trois ans auprès de divers employeurs, notamment par le biais de contrats de missions, en qualité de nettoyeur. En 2007, il s'est inscrit à l'assurance-chômage et a bénéficié de l'aide sociale (subside d'assurance-maladie octroyé par le Service de l'assurance-maladie du canton de Genève). Aussi, il n'apparaît pas que l'intéressé se serait créé avec la Suisse des attaches particulièrement étroites au point de le rendre étranger à son pays d'origine.</w:t>
      </w:r>
    </w:p>
    <w:p>
      <w:r>
        <w:rPr>
          <w:b/>
        </w:rPr>
        <w:t>E. 6.2.2</w:t>
      </w:r>
    </w:p>
    <w:p>
      <w:r>
        <w:t>Il y a encore lieu d'examiner si la poursuite du séjour en Suisse du prénommé s'impose pour l'un des autres motifs mentionnés à l'art. 31 al. 1 OASA (consid. 5.2 supra). Or, compte tenu de son âge (33 ans),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(consid. 6.2.1 supra), il convient de constater que l'examen du cas à la lumière des critères de l'art. 31 al. 1 OASA ne permet pas non plus de conclure à l'existence de raisons personnelles majeures au sens de l'art. 50 al. 1 let. b LEtr.</w:t>
      </w:r>
    </w:p>
    <w:p>
      <w:r>
        <w:rPr>
          <w:b/>
        </w:rPr>
        <w:t>E. 6.2.3</w:t>
      </w:r>
    </w:p>
    <w:p>
      <w:r>
        <w:t>Dans ces circonstances, l'examen du dossier ne permet pas de retenir que la réintégration sociale du recourant dans son pays d'origine serait fortement compromise et que la poursuite de son séjour en Suisse s'imposerait dès lors pour des raisons personnelles majeures au sens de l'art. 50 al. 1 let. b LEtr. Ainsi, son droit à l'octroi d'une autorisation ou à la prolongation de sa durée de validité n'existe plus. Enfin, l'approbation ne saurait être accordée sur la base de l'art. 30 al. 1 let. b LEtr, dans la mesure où les conditions d'un cas individuel d'une extrême gravité au sens de l'art. 31 al. 1 OASA ont déjà été examinées sous l'angle de l'art. 50 al. 1 let. b LEtr.</w:t>
      </w:r>
    </w:p>
    <w:p>
      <w:r>
        <w:rPr>
          <w:b/>
        </w:rPr>
        <w:t>E. 7</w:t>
      </w:r>
    </w:p>
    <w:p>
      <w:r>
        <w:t>En considération de ce qui précède, le Tribunal est amené à conclure que l'ODM n'a ni excédé ni abusé de son pouvoir d'appréciation en retenant que le recourant ne remplissait pas les conditions de l'art. 50 LEtr et en refusant ainsi de donner son approbation à la prolongation de son autorisation de séjour.</w:t>
      </w:r>
    </w:p>
    <w:p>
      <w:r>
        <w:rPr>
          <w:b/>
        </w:rPr>
        <w:t>E. 8</w:t>
      </w:r>
    </w:p>
    <w:p>
      <w:r>
        <w:t>Le recourant n'obtenant pas d'autorisation de séjour en Suisse, c'est également à bon droit que l'autorité inférieure a prononcé son renvoi conformément à l'art. 64 al. 1 let. c LEtr (entré en vigueur le 1er janvier 2011, RO 2010 5925 ; voir le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disposition qui correspond à l'ancien art. 66 al. 1 LEtr (RO 2007 5437 ; FF 2009 8052). L'intéressé ne démontrant pas l'existence d'obstacles à son retour en Algérie et le dossier ne faisant pas non plus apparaître que l'exécution de son renvoi serait illicite, inexigible ou impossible au sens de l'art. 83 al. 2 à 4 LEtr, c'est également à juste titre que l'ODM a ordonné l'exécution de cette mesure.</w:t>
      </w:r>
    </w:p>
    <w:p>
      <w:r>
        <w:rPr>
          <w:b/>
        </w:rPr>
        <w:t>E. 9</w:t>
      </w:r>
    </w:p>
    <w:p>
      <w:r>
        <w:t>En conclusion, la décision du 19 mars 2010 est conforme au droit. Le recours est en conséquent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