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C-2792/2012 vom 21. Januar 2013</w:t>
      </w:r>
    </w:p>
    <w:p>
      <w:r>
        <w:t>Bundesverwaltungsgericht, 2013-01-21, DE</w:t>
      </w:r>
    </w:p>
    <w:p>
      <w:r>
        <w:rPr>
          <w:b/>
        </w:rPr>
        <w:t xml:space="preserve">Quelle: </w:t>
      </w:r>
      <w:r>
        <w:t>https://mcp.opencaselaw.ch/entscheid/bvger_C-2792_2012</w:t>
      </w:r>
    </w:p>
    <w:p>
      <w:r>
        <w:t>FR: TAF C-2792/2012 du 21 janvier 2013</w:t>
      </w:r>
    </w:p>
    <w:p>
      <w:r>
        <w:t>IT: TAF C-2792/2012 del 21 gennaio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einzutreten (vgl.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In formeller Hinsicht rügt die Beschwerdeführerin im Schreiben vom 3. Mai 2012 an das Statthalteramt Bülach (als Bestandteil der Rechtsmitteleingabe vom 15. Mai 2012), man habe sie vor Erlass der Fernhaltemassnahme nicht angehört. Dies trifft gemäss den vorinstanzlichen Akten nicht zu. Vielmehr wurde ihr von der Kantonspolizei Zürich am 15. März 2012 am Flughafen ein entsprechendes Formular ausgehändigt, worin das Prozedere der Gehörsgewährung in mehreren Sprachen - worunter in Serbokroatisch, der Muttersprache der Betroffenen - erläutert wird. Die Beschwerdeführerin hat dies ausdrücklich zur Kenntnis genommen und ebenfalls unterschriftlich bestätigt, keine Aussagen gemacht bzw. auf die Ausübung des rechtlichen Gehörs verzichtet zu haben. Unter solchen Umständen darf angenommen werden, dass sie auch ohne Beiseins eines Dolmetschers wusste, worum es ging und die Möglichkeit gehabt hätte, sich zur Angelegenheit zu äussern. Damit wird dem Gehörsanspruch hinreichend Genüge getan.</w:t>
      </w:r>
    </w:p>
    <w:p>
      <w:r>
        <w:rPr>
          <w:b/>
        </w:rPr>
        <w:t>E. 4.1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Die Beschwerdeführerin ist nicht Bürgerin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der Beschwerdeführerin eine Aufenthaltserlaubnis erteilte oder zusicherte. Ein solcher Aufenthaltstitel wird aber nur bei Vorliegen gewichtiger Gründe erteilt, insbesondere wegen humanitärer Erwägungen oder infolge internationaler Verpflichtungen (Art. 25 SDÜ; vgl. hierzu auch Urteil des BVGer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die Beschwerdeführerin besitzt derzeit auch kein Aufenthaltsrecht in einem Schengenstaat. Die Ausschreibung im SIS erfolgte daher zu Recht.</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daher Anlass für die Verhängung eines Einreiseverbots sein, wobei der Erlass einer solchen Massnahme, wie erwähnt, stets zum Schutz vor künftigen Störungen und nicht im Sinne einer Sanktion erfolgt (vgl. Botschaft, a.a.O., 3813).</w:t>
      </w:r>
    </w:p>
    <w:p>
      <w:r>
        <w:rPr>
          <w:b/>
        </w:rPr>
        <w:t>E. 5.3</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beispielsweise Urteil des BVGer C-4482/2011 vom 24. Juli 2012 mit Hinweis).</w:t>
      </w:r>
    </w:p>
    <w:p>
      <w:r>
        <w:rPr>
          <w:b/>
        </w:rPr>
        <w:t>E. 6.1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 drei Monate innerhalb einer Frist von sechs Monaten vom Datum der ersten Einreise an im Hoheitsgebiet der Schengenstaaten frei bewegen dürfen, und auch das nur, wenn und solange sie die Einreisevoraussetzungen des Art. 5 Abs. 1 SGK erfüllen (Art. 20 Abs. 1 SDÜ).</w:t>
      </w:r>
    </w:p>
    <w:p>
      <w:r>
        <w:rPr>
          <w:b/>
        </w:rPr>
        <w:t>E. 6.2</w:t>
      </w:r>
    </w:p>
    <w:p>
      <w:r>
        <w:t>Die Beschwerdeführerin hielt sich unbestrittenermassen vom 1. August 2011 bis 15. März 2012 in der Schweiz auf, ohne diesen Aufenthalt in rechtlich relevanter Weise zu unterbrechen und ohne sich anzumelden bzw. ohne die dazu erforderliche Bewilligung einzuholen. Die Zeitspanne der illegalen Anwesenheit erstreckte sich in ihrem Fall hierbei auf rund viereinhalb Monate (ab 31. Oktober 2011 bis 15. März 2012). Dafür wurde sie auch strafrechtlich belangt. Der Strafbefehl des Statthalteramtes Bülach vom 29. März 2012 ist seit dem 13. August 2012 rechtskräftig (siehe die entsprechende Mitteilung der zuständigen Strafbehörde vom 10. Januar 2013). Eines vorsätzlichen Vorgehen bedurfte es, wie erwähnt, nicht (siehe E. 5.3 vorstehend; zu den geltend gemachten Rechtfertigungsgründen im Einzelnen vgl. E. 7.3 hiernach). Aufgrund dessen steht ausser Frage, dass die Beschwerdeführerin im Sinne von Art. 67 Abs. 2 Bst. a AuG gegen die öffentliche Sicherheit und Ordnung verstossen und damit einen Fernhaltegrund gesetzt hat.</w:t>
      </w:r>
    </w:p>
    <w:p>
      <w:r>
        <w:rPr>
          <w:b/>
        </w:rPr>
        <w:t>E. 6.3</w:t>
      </w:r>
    </w:p>
    <w:p>
      <w:r>
        <w:t>Hinzu kommt, dass die Beschwerdeführerin laut eigenen Angaben für die Gastgeberfamilie gegen Entgelt als Kindermädchen und Haushalthilfe tätig gewesen ist. Ausländerinnen und Ausländer, die in der Schweiz eine Erwerbstätigkeit ausüben wollen, benötigen unabhängig von der Aufenthaltsdauer eine Bewilligung (Art. 11 Abs. 1 Satz 1 AuG). Als Erwerbstätigkeit gilt jede üblicherweise gegen Entgelt ausgeübte unselbständige oder selbständige Tätigkeit, selbst wenn sie unentgeltlich erfolgt (Art. 11 Abs. 2 AuG). Dabei ist ohne Belang, ob die Beschäftigung nur stunden oder tageweise oder vorübergehend ausgeübt wird (Art. 1a Abs. 1 VZAE). Prinzipiell gilt dies auch für Hilfeleistungen im Familienkreis (vgl. Urteil des BVGer C-7263/2008 vom 31. August 2010 E. 5.1.2 mit Hinweisen). Eine Ausnahmesituation, wo der Erwerbscharakter durch eine besondere verwandtschaftliche oder emotionale Nähe in den Hintergrund gedrängt wird (siehe hierzu Urteil des BVGer C-4482/2011 vom 24. Juli 2012 E. 4.2.3 mit Hinweis), liegt hier offenkundig nicht vor. Aufgrund der Äusserungen der Beschwerdeführerin und ihres Verhaltens ist nämlich anzunehmen, dass - wenn überhaupt - jedenfalls kein engeres verwandtschaftliches Verhältnis zur Gastgeberfamilie besteht. Die von der Beschwerdeführerin vorgenommenen Arbeitsleistungen sind damit als Erwerbstätigkeit im Sinne von Art. 11 Abs. 2 AuG zu qualifizieren, für welche sie vorgängig eine Bewilligung hätte einholen müssen, weshalb sie auch diesbezüglich Gründe für die Verhängung einer Fernhaltemassnahme gesetzt hat. Diese Ergänzung der vorinstanzlichen Begründung ist im Sinne einer Motivsubstitution durchaus möglich und zulässig (vgl. Urteil des BVGer C-56/2011 vom 12. Oktober 2012 E. 6 mit Hinweis).</w:t>
      </w:r>
    </w:p>
    <w:p>
      <w:r>
        <w:rPr>
          <w:b/>
        </w:rPr>
        <w:t>E. 6.4</w:t>
      </w:r>
    </w:p>
    <w:p>
      <w:r>
        <w:t>Zusammenfassend ist festzuhalten, dass die Beschwerdeführerin in mehrfacher Hinsicht gegen die öffentliche Sicherheit und Ordnung in der Schweiz verstossen hat. Die Verhängung der Fernhaltemassnahme erweist sich damit grundsätzlich als gerechtfertigt.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Zürich/St.Gallen 2010, Rz. 613 ff.).</w:t>
      </w:r>
    </w:p>
    <w:p>
      <w:r>
        <w:rPr>
          <w:b/>
        </w:rPr>
        <w:t>E. 7.2</w:t>
      </w:r>
    </w:p>
    <w:p>
      <w:r>
        <w:t>An der Einhaltung der ausländerrechtlichen Ordnung im Allgemeinen und der Vorschriften über Einreise, Aufenthalt und Erwerbstätigkeit im Besonderen besteht ein gewichtiges öffentliches Interesse. Das Einreiseverbot wirkt hier einerseits präventiv, indem sie andere Ausländerinnen und Ausländer angesichts der nachteiligen Folgen dazu anhält, sich an die ausländerrechtliche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etwa Urteil des BVGer C-1712/2011 vom 12. September 2012 E. 6.2 mit Hinweis).</w:t>
      </w:r>
    </w:p>
    <w:p>
      <w:r>
        <w:rPr>
          <w:b/>
        </w:rPr>
        <w:t>E. 7.3</w:t>
      </w:r>
    </w:p>
    <w:p>
      <w:r>
        <w:t>Das Fehlverhalten der Beschwerdeführerin wiegt objektiv nicht leicht, beinhaltet es doch die Missachtung ausländerrechtlicher Normen, denen im Interesse einer funktionierenden Rechtsordnung eine zentrale Bedeutung zukommt. Aber auch was die subjektive Seite anbelangt, ist ihr Verhalten nicht zu bagatellisieren. So hielt sich die Beschwerdeführerin nach Ablauf des bewilligungsfreien Aufenthalts von drei Monaten immerhin weitere viereinhalb Monate rechtswidrig in der Schweiz auf. Auf Beschwerdeebene bringt sie zwar vor, die Gastgeberfamilie habe sie daran gehindert, das Land rechtzeitig zu verlassen. Aufgrund ihrer Schilderungen in der Rechtsmitteleingabe und insbesondere im Schreiben zu Handen der Strafbehörde ist jedoch davon auszugehen, dass sie sich des Ablaufs der Dreimonatsfrist zum fraglichen Zeitpunkt durchaus im Klaren war. Trotzdem kann sie sich frühestens gegen Ende Februar 2012 hin ernsthaft um die Ausreise bzw. die Rechtmässigkeit ihrer weiteren Anwesenheit hierzulande bemüht haben, ging die Organisation der Rückreise mit Hilfe eines Neffen, wie die Betroffene selber einräumt, danach doch zügig von statten (die Ausreise über den Flughafen Zürich erfolgte, wie an anderer Stelle dargetan, am 15. März 2012). Dass sich die Beschwerdeführerin gegen die Gastgeberfamilie nicht früher zur Wehr zu setzen vermochte, erscheint angesichts ihres Alters sowie der sonstigen Umstände (keine besonderen Bande und auch kein Abhängigkeitsverhältnis zu besagter Familie) überdies wenig plausibel. Insoweit hat sie sich mithin bewusst über die geltende Rechtsordnung hinweggesetzt. Abgesehen davon ist die Fernhaltemassnahme nicht als absolutes Einreiseverbot ausgestaltet. Sie stellt vielmehr ein Einreiseverbot mit Bewilligungsvorbehalt dar. Der Beschwerdeführerin steht somit die Möglichkeit offen, aus wichtigen Gründen mittels Gesuch die zeitweilige Suspension der angeordneten Fernhaltemassnahme zu beantragen (Art. 67 Abs. 5 AuG). Die Suspension wird aber praxisgemäss nur für eine kurze und klar begrenzte Zeit gewährt (vgl. Urteil des BVGer C-4606/2011 vom 29. August 2012 E. 6.4 mit Hinweis).</w:t>
      </w:r>
    </w:p>
    <w:p>
      <w:r>
        <w:rPr>
          <w:b/>
        </w:rPr>
        <w:t>E. 7.4</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w:t>
      </w:r>
    </w:p>
    <w:p>
      <w:r>
        <w:rPr>
          <w:b/>
        </w:rPr>
        <w:t>E. 8</w:t>
      </w:r>
    </w:p>
    <w:p>
      <w:r>
        <w:t>Aus diesen Erwägungen ergibt sich, dass die angefochtene Verfügung im Lichte von Art. 49 VwVG nicht zu beanstanden ist. Die Beschwerde ist deshalb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