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C-2792/2010 vom 21. Oktober 2011</w:t>
      </w:r>
    </w:p>
    <w:p>
      <w:r>
        <w:t>Bundesverwaltungsgericht, 2011-10-21, FR</w:t>
      </w:r>
    </w:p>
    <w:p>
      <w:r>
        <w:rPr>
          <w:b/>
        </w:rPr>
        <w:t xml:space="preserve">Quelle: </w:t>
      </w:r>
      <w:r>
        <w:t>https://mcp.opencaselaw.ch/entscheid/bvger_C-2792_2010</w:t>
      </w:r>
    </w:p>
    <w:p>
      <w:r>
        <w:t>FR: TAF C-2792/2010 du 21 octobre 2011</w:t>
      </w:r>
    </w:p>
    <w:p>
      <w:r>
        <w:t>IT: TAF C-2792/2010 del 21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pces 6, 9 et 11),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AI est régi par la teneur de la LAI au moment de la décision entreprise, eu égard au principe selon lequel les règles applicables sont celles en vigueur au moment où les faits juridiquement déterminants se sont produits (ATF 130 V 445 consid. 1.2). Les dispositions de la 5ème révision de la LAI entrées en vigueur le 1er janvier 2008 (RO 2007 5129) sont donc applicables à la présente cause.</w:t>
      </w:r>
    </w:p>
    <w:p>
      <w:r>
        <w:rPr>
          <w:b/>
        </w:rPr>
        <w:t>E. 5</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l'occurrence, le recourant remplit la condition liée à la durée minimale de cotisations. Il reste dès lors à examiner si l'intéressé peut-être qualifié d'invalide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e LAI); - il a présenté une incapacité de travail (art. 6 LPGA) d'au moins 40% en moyenne durant une année sans interruption notable (art. 28 al. 1 let. b LAI); - au terme de cette année, il est invalide (art. 8 LPGA) à 40 % au moins (art. 28 al. 1 let.c LAI).</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le recourant avait droit à une rente le 7 février 2010 (6 mois après le dépôt de la demande) ou si le droit à une rente est né entre cette date et le 15 mars 2010, date de la décision attaquée marquant la limite dans le temps du pouvoir d'examen de l'autorité de recours (ATF 130 V 445 consid. 1.2 et 1.2.1).</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 liées à une atteinte à la santé physique et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 raisonnablement être exigée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9.1</w:t>
      </w:r>
    </w:p>
    <w:p>
      <w:r>
        <w:t>Dans le cadre de la procédure de recours, A.________ met tout d'abord en exergue un manque de motivation de la décision de l'autorité inférieure concernant l'évaluation de son taux d'invalidité et conclut pour cette raison à l'annulation de la décision entreprise et au renvoi à l'autorité inférieure pour nouvelle décision. Subsidiairement, il conclut à l'annulation de la décision querellé et l'octroi d'une rente entière d'invalidité sur la base d'un degré d'invalidité de 70%, déjà reconnu par les autorités espagnoles depuis le 22 juin 2009. En sus, le recourant argue que son état de santé s'est sensiblement détérioré en se basant sur le certificat médical du 26 mars 2010 du Dr F.________ et fait état de douleurs très importantes dans le membre supérieur droit l'empêchant d'effectuer tous les actes du quotidien. Plus subsidiairement, il requiert un nouvel examen par un médecin de l'OAIE, afin de déterminer son degré réel d'invalidité en prenant en compte la dégradation de son état de santé.</w:t>
      </w:r>
    </w:p>
    <w:p>
      <w:r>
        <w:rPr>
          <w:b/>
        </w:rPr>
        <w:t>E. 9.2</w:t>
      </w:r>
    </w:p>
    <w:p>
      <w:r>
        <w:t>L'OAIE, de son côté, soutient que le recourant est, en dépit de ses douleurs à l'épaule droite, encore en mesure d'exercer à plein temps une activité de substitution dans des travaux légers et adaptés, de sorte qu'il ne peut se prévaloir d'une perte de gain suffisante pour ouvrir le droit à une rente AI. Pour ce faire, l'office se base sur la prise de position de son service médical du 4 novembre 2010, dont il ressort que le recourant reste capable d'effectuer des activités légères de substitution ne nécessitant pas de port de charges de plus de 5 kg ou de travaux lourds, dans le froid et l'humidité (OAIE pce 14). Dans sa réponse du 27 juillet 2010, l'autorité inférieure répond de manière détaillée au grief du recourant concernant la violation de son droit d'être entendu. L'office précise les calculs de l'évaluation de l'invalidité du recourant ressortant de la décision querellée, afin de réparer un éventuel vice de procédure (TAF pce 5).</w:t>
      </w:r>
    </w:p>
    <w:p>
      <w:r>
        <w:rPr>
          <w:b/>
        </w:rPr>
        <w:t>E. 10</w:t>
      </w:r>
    </w:p>
    <w:p>
      <w:r>
        <w:t>A titre liminaire, il convient de rappeler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Il n'est de ce fait pas déterminant que l'institution de sécurité sociale espagnole ait reconnu à l'assuré le droit de percevoir une rente entière d'invalidité depuis le 22 juin 2009 et l'argumentation du recourant ne peut être retenue sur ce point.</w:t>
      </w:r>
    </w:p>
    <w:p>
      <w:r>
        <w:rPr>
          <w:b/>
        </w:rPr>
        <w:t>E. 11.1</w:t>
      </w:r>
    </w:p>
    <w:p>
      <w:r>
        <w:t>Tout d'abord, le recourant se plaint d'un défaut de motivation de la décision litigieuse, faisant valoir que les calculs effectués lors de l'évaluation de son taux d'invalidité par l'OAIE ne lui ont aucunement été expliqués. Ceci revient à invoquer une violation du droit d'être entendu. Or, en raison du caractère formel de ce droit - dont la violation entraîne en principe l'annulation de la décision attaquée sans égard aux chances de succès du recours sur le fond (Andreas Auer/ Giorgio Malinverni/ Michel Hottelier, Droit constitutionnel suisse, vol. II, Les droits fondamentaux, 2e éd., Berne 2006, n. 1346; ATF 134 V 97) -, il convient d'examiner ce grief en premier lieu.</w:t>
      </w:r>
    </w:p>
    <w:p>
      <w:r>
        <w:rPr>
          <w:b/>
        </w:rPr>
        <w:t>E. 11.2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11.3</w:t>
      </w:r>
    </w:p>
    <w:p>
      <w:r>
        <w:t>En outre, le Tribunal note que l'opposition du 10 mars 2010 déposée par le recourant était manifestement tardive, eu égard au délai de 30 jours imparti par le projet de décision du 29 décembre 2009 et n'a pas pu être prise en compte lors de la décision querellée. Néanmoins, le Tribunal remarque qu'effectivement le détail des calculs de la perte de gain du recourant déterminants pour l'évaluation de son degré d'invalidité ne ressortent pas de la décision entreprise ou du projet de décision. Cependant, selon la jurisprudence, une éventuelle violation du droit d'être entendu, pour autant qu'elle ne soit pas d'une gravité particulière, peut exceptionnellement être considérée comme réparée lorsque la partie lésée a la possibilité de s'exprimer devant une autorité de recours jouissant d'un plein pouvoir d'examen (Arrêt du TF du 26 juillet 2011, 9C_971/2011 consid. 3.1; ATF 129 I 129 et les références citées; Ulrich Häfelin/ Georg Müller/ Felix Uhlmann, Allgemeines Verwaltungsrecht, 5e éd., Zurich/Bâle/Genève 2006, n. 1711; Andreas Auer/ Giorgio Malinverni/ Michel Hottelier, Droit constitutionnel suisse, vol. II, Les droits fondamentaux, 2e éd., Berne 2006, n. 1347 ss). Or, lors de la procédure de recours, l'OAIE a clairement fait état des calculs sur lesquels était basée sa décision du 15 mars 2010 et le recourant a eu la possibilité de prendre position sur ces explications.</w:t>
      </w:r>
    </w:p>
    <w:p>
      <w:r>
        <w:rPr>
          <w:b/>
        </w:rPr>
        <w:t>E. 11.4</w:t>
      </w:r>
    </w:p>
    <w:p>
      <w:r>
        <w:t>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12.1</w:t>
      </w:r>
    </w:p>
    <w:p>
      <w:r>
        <w:t>In casu, A.________ a présenté une demande de rente d'invalidité le 7 août 2009, en raison d'une rupture de la coiffe des rotateurs de l'épaule droite. Le Tribunal relève que les médecins consultés sont unanimes sur le diagnostic de périarthropathie due à une rupture de la coiffe des rotateurs droits, ainsi que sur les limitations fonctionnelles du recourant qui en découlent. Il ressort que l'intéressé a subi une acromioplastie le 23 février 2009 sans qu'il ait été possible de suturer les ligaments, entraînant ainsi une limitation importante de la mobilité de son épaule droite, ainsi qu'une incapacité à lever le bras à plus de 45% (cf. le formulaire E 213 du 7 août 2009 de la Dresse D.________, la prise de position médicale du 4 novembre 2009 du Dr E.________, les rapports médicaux de la Dresse F.________ des 24 février 2010 et 26 mars 2010 (OAIE pces 12, 14, 18 et TAF pce 1 P.J. 1).</w:t>
      </w:r>
    </w:p>
    <w:p>
      <w:r>
        <w:rPr>
          <w:b/>
        </w:rPr>
        <w:t>E. 12.2</w:t>
      </w:r>
    </w:p>
    <w:p>
      <w:r>
        <w:t>Le recourant produit en procédure de recours un certificat médical du 25 juin 2010 du Dr G.________ et fait valoir que son état de santé s'est notablement détérioré. Toutefois, le Tribunal souligne que le diagnostic posé par le Dr G.________, est quasiment identique à celui déjà posé par les Drs E.________ et F.________ et que le nouveau certificat ne se prononce pas sur la capacité résiduelle de travail du recourant. En effet, le Dr G.________ fait état de douleurs chroniques en raison d'une grave dégénérescence et d'une rupture de la coiffe des rotateurs droits suite à une acromioplastie n'ayant pas abouti à une réparation des tendons. Il signale que le recourant est dans l'obligation de prendre un traitement analgésique et relève une perte marquée de la force dans le membre supérieur droit, empêchant le recourant de soulever le bras et de soulever des lourdes charges. Or, ces conclusions ne différent en rien de celles ressortant du rapport E 213, ainsi que de la prise de position du Dr E.________, médecin de l'OAIE (cf. supra consid. 12). Ainsi, force est de constater, à l'instar de l'OAIE dans sa duplique du 14 octobre 2010 (TAF pce 15), que le certificat médical du Dr G.________ n'apporte aucun élément médical nouveau permettant de remettre en cause les conclusions de son service médical.</w:t>
      </w:r>
    </w:p>
    <w:p>
      <w:r>
        <w:rPr>
          <w:b/>
        </w:rPr>
        <w:t>E. 12.3</w:t>
      </w:r>
    </w:p>
    <w:p>
      <w:r>
        <w:t>De plus, le Tribunal relève que le certificat du Dr G.________ est postérieur à la décision entreprise et que, selon une jurisprudence constante, les faits qui se sont produits postérieurement à une décision et qui ont une influence sur l'état de santé de l'assuré doivent normalement ouvrir une nouvelle procédure d'examen d'un éventuel droit aux prestations (ATF 129 V 4 consid. 1.2, 127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12.4</w:t>
      </w:r>
    </w:p>
    <w:p>
      <w:r>
        <w:t>Au vu de ce qui précède, le Tribunal de céans se doit ainsi de rejeter la conclusion subsidiaire du recourant tendant à ce qu'il soit soumis à un nouvel examen médical en Suisse, le dossier étant, comme on l'a vu, suffisamment étayé.</w:t>
      </w:r>
    </w:p>
    <w:p>
      <w:r>
        <w:rPr>
          <w:b/>
        </w:rPr>
        <w:t>E. 13.1</w:t>
      </w:r>
    </w:p>
    <w:p>
      <w:r>
        <w:t>S'agissant de la capacité de travail du recourant dans son activité habituelle et dans une activité de substitution adaptée à son état de santé, le Tribunal remarque qu'un désaccord subsiste sur l'étendue de l'incapacité de travail du recourant dans son activité habituelle de maçon. En effet, il ressort du formulaire E 213 du 7 août 2009 de la Dresse D.________ que le recourant est totalement incapable de travailler en tant que maçon. La praticienne ne prend cependant pas position sur la capacité résiduelle de travail de l'intéressé et se borne à souligner qu'il est au bénéfice d'une rente invalidité dans son pays de résidence.</w:t>
      </w:r>
    </w:p>
    <w:p>
      <w:r>
        <w:rPr>
          <w:b/>
        </w:rPr>
        <w:t>E. 13.2</w:t>
      </w:r>
    </w:p>
    <w:p>
      <w:r>
        <w:t>D'un autre côté, le Dr E.________, médecin de l'OAIE, estime l'incapacité de travail du recourant dans son activité habituelle de maçon à 70% dès le 7 octobre 2008, date du premier rapport médical établissant l'atteinte à la santé du recourant, mais retient une capacité résiduelle de travail totale dans des activités plus légères ne nécessitant pas de port de charges de plus de 5 kg ou de travaux lourds, comme surveillant de parking/musée, vendeur par correspondance, vendeur billet, commissionnaire, réceptionniste, standardiste/téléphoniste ou comme employé de saisie/scannage de données (OAIE pce 14).</w:t>
      </w:r>
    </w:p>
    <w:p>
      <w:r>
        <w:rPr>
          <w:b/>
        </w:rPr>
        <w:t>E. 13.3</w:t>
      </w:r>
    </w:p>
    <w:p>
      <w:r>
        <w:t>La Dresse F.________ et le Dr G.________, quant à eux, ne prennent pas position sur la capacité résiduelle de travail du recourant et mentionnent simplement une incapacité générale de celui-ci dans les actes quotidiens (OAIE pce 18 et TAF pces 1 et 8).</w:t>
      </w:r>
    </w:p>
    <w:p>
      <w:r>
        <w:rPr>
          <w:b/>
        </w:rPr>
        <w:t>E. 14.1</w:t>
      </w:r>
    </w:p>
    <w:p>
      <w:r>
        <w:t>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De plus,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w:t>
      </w:r>
    </w:p>
    <w:p>
      <w:r>
        <w:rPr>
          <w:b/>
        </w:rPr>
        <w:t>E. 14.2</w:t>
      </w:r>
    </w:p>
    <w:p>
      <w:r>
        <w:t>En l'espèce, le médecin de l'OAIE s'est basé essentiellement sur le rapport orthopédique du 24 février 2009 de la Dresse F.________, ainsi que sur le rapport E 213 du 7 août 2009 de la Dresse D.________ pour apprécier l'état de santé du recourant (OAIE pce 14). Il s'agit de rapports médicaux détaillés, faisant l'objet d'une étude circonstanciée et se fondant sur des examens complets. Ceux-ci concordent en tous points et, s'ils ne se prononcent pas sur la capacité résiduelle de travail du recourant ou seulement de manière incomplète, ils font clairement état des limitations fonctionnelles du recourant, soit essentiellement une mobilité de l'épaule droite limitée et une perte de force dans le bras droit empêchant le recourant de lever le bras droit à plus de 45%. Par conséquent, le Tribunal estime que le Dr E.________, médecin généraliste, pouvait sans autre se baser sur ces rapports médicaux afin d'apprécier la capacité résiduelle de travail du recourant.</w:t>
      </w:r>
    </w:p>
    <w:p>
      <w:r>
        <w:rPr>
          <w:b/>
        </w:rPr>
        <w:t>E. 14.3</w:t>
      </w:r>
    </w:p>
    <w:p>
      <w:r>
        <w:t>Le recourant n'ayant fourni aucune pièce médicale susceptible de remettre en cause l'appréciation émise par le Dr E.________, l'autorité de céans n'a pas de motifs de s'écarter des conclusions du médecin de l'OAIE, fondées sur une analyse attentive des données médicales et des résultats d'examens objectifs au dossier. En effet, au vu de ce qui précède, il apparaît au Tribunal hautement vraisemblable que, si le recourant est incapable de poursuivre son activité de maçon et empêché d'effectuer certains actes du quotidien, il reste capable de travailler dans des activités de substitution plus légères n'impliquant pas de lever le bras droit plus haut que l'épaule.</w:t>
      </w:r>
    </w:p>
    <w:p>
      <w:r>
        <w:rPr>
          <w:b/>
        </w:rPr>
        <w:t>E. 15</w:t>
      </w:r>
    </w:p>
    <w:p>
      <w:r>
        <w:t>Partant, le Tribunal, à l'instar de l'autorité inférieure, retient que l'intéressé est incapable à hauteur de 70% de travailler dans son ancienne activité de maçon, mais que celui-ci reste apte à travailler à 100% dans une activité de substitution légère, sans port de charge ni travaux lourds, dans un environnement qui n'est pas soumis au froid et à l'humidité depuis le 7 octobre 2008.</w:t>
      </w:r>
    </w:p>
    <w:p>
      <w:r>
        <w:rPr>
          <w:b/>
        </w:rPr>
        <w:t>E. 16.1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16.2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16.3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16.4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17.1</w:t>
      </w:r>
    </w:p>
    <w:p>
      <w:r>
        <w:t>In casu, il s'agit de comparer les revenus de A.________ en fonction de ce qu'ils étaient, ou auraient pu être, le 7 février 2010 ( 6 mois après le dépôt de la demande (art 29 al. 1 LPGA; ATF 129 V 222 consid. 4.3.1 et 4.4; ATF 128 V 174). En l'occurrence, pour fixer le revenu sans invalidité, il faut se baser sur le salaire d'un ouvrier spécialisé dans la construction. Selon l'ESS 2008, table TA1, niveau 3, il en résulte un salaire mensuel de Fr. 5'602.--, après indexation (cf. tableau B 10. 2, Evolution des salaires, La Vie économique 9-2011, p. 95), on obtient un revenu mensuel de Fr. 5'719.64 en 2009 ([5'605 x 102.1]/100) et de Fr. 5'765.40 en 2010 ([5'719.64 x100.8]/100) pour 40h/sem., soit Fr. 5'996.-- pour 41.6h/sem. (temps de travail hebdomadaire dans ce secteur en 2010; Table B 9.2, in: La Vie économique 9-2011, p. 94).</w:t>
      </w:r>
    </w:p>
    <w:p>
      <w:r>
        <w:rPr>
          <w:b/>
        </w:rPr>
        <w:t>E. 17.2</w:t>
      </w:r>
    </w:p>
    <w:p>
      <w:r>
        <w:t>Le salaire après invalidité doit également être fixé sur la base de l'ESS 2008, indexé à l'année 2010. Les activités de substitution proposées par le médecin de l'OAIE, exigibles à 100% dès le 7 octobre 2008, ne nécessitant pas de port de charges de plus de 5 kg ni de travaux lourds, ou d'être exposé au froid et à l'humidité, sont des activités de substitution adaptées, en tant que surveillant de musée/parking, vendeur par correspondance, vendeur de billet, commissionnaire, réceptionniste, standardiste ou comme employé de saisie de données/scannage (OAIE pce 14). Dès lors, afin de déterminer le salaire après invalidité du recourant, il sied de se baser sur le salaire moyen d'un ouvrier effectuant des activités simples et répétitives, ne nécessitant pas de connaissances spécifiques, dans le domaine des services collectifs et personnels, dans le commerce en général, dans le commerce de détail, ainsi que dans des activités administratives simples. Selon l'ESS 2008, table TA1, niveau 4, il en résulte un salaire mensuel moyen de Fr. 4'471.75 pour 40h/sem. ([4'291 + 4'569 +4'436 + 4'591] / 4). Après indexation, il en résulte un salaire mensuel d'invalide pour 40h/sem. de Fr. 4'565.65 pour l'année 2009 ([4'471.75 x 102.1]/100), et de Fr. 4'602.20 pour l'année 2010 ([4'565.65 x 100.8] /100; Table B 10.2, Evolution des salaires, in: La Vie économique 9-2011, p. 95). Dès lors, le Tribunal retient un salaire mensuel d'invalide pour l'année 2010 de Fr. 4'786.30 pour 41.6h/sem. (temps de travail hebdomadaire moyen en 2010; table B. 9.2., in: La Vie économique 9-2011, p. 94). Compte tenu de l'âge du recourant (55 ans au moment de la décision) entreprise, et de ses restrictions personnelles aux activités légères, sans port de charge de plus de 5 kg ou travaux lourds, il se justifie d'opérer, à l'instar de l'administration, une réduction du salaire d'invalide de 20%, l'abaissement maximal admis par la jurisprudence étant de 25% (ATF 126 V 728 consid. 5). Le revenu d'invalide d'A.________ se monte ainsi à Fr. 3'829.05.</w:t>
      </w:r>
    </w:p>
    <w:p>
      <w:r>
        <w:rPr>
          <w:b/>
        </w:rPr>
        <w:t>E. 17.3</w:t>
      </w:r>
    </w:p>
    <w:p>
      <w:r>
        <w:t>La comparaison du salaire avant invalidité de Fr. 5'996.-- avec celui après invalidité de Fr. 3'829.05, fait apparaître une perte de gain de 36.13% ([5'996 - 3'829.05] x 100 : 5'996). Ce taux étant inférieur à 40%, il n'ouvre pas le droit à un quart de rente, conformément à ce qui a été retenu par décision du 15 mars 2010 (cf. art. 28 al. 2 LAI).</w:t>
      </w:r>
    </w:p>
    <w:p>
      <w:r>
        <w:rPr>
          <w:b/>
        </w:rPr>
        <w:t>E. 17.4</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17.5</w:t>
      </w:r>
    </w:p>
    <w:p>
      <w:r>
        <w:t>Au vu de ce qui précède, le recours du 19 avril 2010 doit être rejeté et la décision du 15 mars 2010 de l'autorité inférieure confirmée.</w:t>
      </w:r>
    </w:p>
    <w:p>
      <w:r>
        <w:rPr>
          <w:b/>
        </w:rPr>
        <w:t>E. 18</w:t>
      </w:r>
    </w:p>
    <w:p>
      <w:r>
        <w:t>Les frais de procédure, fixés à Fr. 300.--, sont mis à la charge du recourant (art. 63 al. 1 PA, applicable par le truchement de l'art. 37 LTAF).Vu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