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C-2791/2014 vom 20. Juni 2014</w:t>
      </w:r>
    </w:p>
    <w:p>
      <w:r>
        <w:t>Bundesverwaltungsgericht, 2014-06-20, DE</w:t>
      </w:r>
    </w:p>
    <w:p>
      <w:r>
        <w:rPr>
          <w:b/>
        </w:rPr>
        <w:t xml:space="preserve">Quelle: </w:t>
      </w:r>
      <w:r>
        <w:t>https://mcp.opencaselaw.ch/entscheid/bvger_C-2791_2014</w:t>
      </w:r>
    </w:p>
    <w:p>
      <w:r>
        <w:t>FR: TAF C-2791/2014 du 20 juin 2014</w:t>
      </w:r>
    </w:p>
    <w:p>
      <w:r>
        <w:t>IT: TAF C-2791/2014 del 20 giugno 2014</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 und es wird keine Parteientschädigung zugesprochen.</w:t>
      </w:r>
    </w:p>
    <w:p>
      <w:r>
        <w:rPr>
          <w:b/>
        </w:rPr>
        <w:t>E. 3</w:t>
      </w:r>
    </w:p>
    <w:p>
      <w:r>
        <w:t>Dieses Urteil geht an: - den Beschwerdeführer (Einschreiben mit Rückschein) - die Vorinstanz (Ref-Nr. ______) - das Bundesamt für Sozialversicherungen Für die Rechtsmittelbelehrung wird auf die nächste Seite verwiesen. Der Einzelrichter: Die Gerichtsschreiberin: Daniel Stufetti Susanna Gärtner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