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C-2789/2015 vom 5. April 2016</w:t>
      </w:r>
    </w:p>
    <w:p>
      <w:r>
        <w:t>Bundesverwaltungsgericht, 2016-04-05, DE</w:t>
      </w:r>
    </w:p>
    <w:p>
      <w:r>
        <w:rPr>
          <w:b/>
        </w:rPr>
        <w:t xml:space="preserve">Quelle: </w:t>
      </w:r>
      <w:r>
        <w:t>https://mcp.opencaselaw.ch/entscheid/bvger_C-2789_2015</w:t>
      </w:r>
    </w:p>
    <w:p>
      <w:r>
        <w:t>FR: TAF C-2789/2015 du 5 avril 2016</w:t>
      </w:r>
    </w:p>
    <w:p>
      <w:r>
        <w:t>IT: TAF C-2789/2015 del 5 aprile 2016</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12. März 2015 stellt eine Verfügung nach Art. 5 VwVG dar. Eine Ausnahme nach Art. 32 VGG liegt nicht vor. Das Bundesverwaltungsgericht ist zur Beurteilung der Beschwerde zuständig.</w:t>
      </w:r>
    </w:p>
    <w:p>
      <w:r>
        <w:rPr>
          <w:b/>
        </w:rPr>
        <w:t>E. 1.2</w:t>
      </w:r>
    </w:p>
    <w:p>
      <w:r>
        <w:t>Die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wurde per Einschreiben mit (nicht aktenkundigem) Rückschein an die türkische Adresse des Beschwerdeführers gesendet, wo sie seiner (nicht bestrittenen) Angabe zufolge am 17. März 2015 zugestellt wurde. Die Beschwerdeschrift wurde am 30. April 2015 (...) der Post übergeben und ging am 4. Mai 2015 beim Bundesverwaltungsgericht ein (BVGer act. 1). Vom siebten Tag vor Ostern (29. März 2015) bis und mit dem siebten Tag nach Ostern (12. April 2015) stand die Beschwerdefrist still (Art. 38 Abs. 4 lit. a ATSG). Die Beschwerde wurde fristgerecht innerhalb von dreissig Tagen nach Eröffnung der angefochtenen Verfügung eingereicht (Art. 60 ATSG in Verbindung mit Art. 38 Abs. 1 ATSG).</w:t>
      </w:r>
    </w:p>
    <w:p>
      <w:r>
        <w:rPr>
          <w:b/>
        </w:rPr>
        <w:t>E. 1.4</w:t>
      </w:r>
    </w:p>
    <w:p>
      <w:r>
        <w:t>Die Beschwerde enthält einen Antrag und eine Begründung und wurde vom Rechtsvertreter unterschrieben. Eine Kopie der angefochtenen Verfügung wurde beigelegt (BVGer act. 1, Beilage 1). Die handschriftliche Vollmacht für den Rechtsvertreter vom 30. März 2015 ist aktenkundig (act. 150). Die Beschwerde wurde somit formgerecht eingereicht (Art. 52 Abs. 1 VwVG). Mit Zwischenverfügung vom 5. Juni 2015 wurde das Gesuch um unentgeltliche Prozessführung und Verbeiständung gutgeheissen (BVGer act. 8) und auf einen Kostenvorschuss verzichtet. Auf die Beschwerde ist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Für rechtshindernde oder rechtsaufhebende Tatsachen trägt diejenige Person die Folgen der Beweislosigkeit, die sie behauptet. Dies ist im IV-Verfahren in der Regel die IV-Stelle. Macht die IV-Stelle im Rahmen einer amtlichen Rentenrevision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3</w:t>
      </w:r>
    </w:p>
    <w:p>
      <w:r>
        <w:t>Nachfolgend sind die anwendbaren Normen und Rechtsgrundsätze darzustellen.</w:t>
      </w:r>
    </w:p>
    <w:p>
      <w:r>
        <w:rPr>
          <w:b/>
        </w:rPr>
        <w:t>E. 3.1</w:t>
      </w:r>
    </w:p>
    <w:p>
      <w:r>
        <w:t>Der Beschwerdeführer ist türkischer Staatsangehöriger und hat seinen Wohnsitz in der Türkei. Deshalb findet das Abkommen vom 1. Mai 1969 zwischen der Schweiz und der Republik Türkei über soziale Sicherheit (SR 0.831.109.763.1; im Folgenden: Sozialversicherungsabkommen) Anwendung. Nach Art. 2 Abs. 1 Sozialversicherungsabkommen sind die Staatsangehörigen der einen Vertragspartei in ihren Rechten und Pflichten aus der Gesetzgebung der anderen Vertragspartei - wozu auch die schweizerische Bundesgesetzgebung über die Invalidenversicherung gehört (vgl. Art. 1 lit. B Abs. 1 lit.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Sozialversicherungsabkommen noch in der dazugehörigen Verwaltungsvereinbarung vom 14. Januar 1970 (SR 0.831. 109.763. 11). Demnach bestimmt sich vorliegend die Frage, ob weiterhin Anspruch auf IV-Leistungen besteht, allein aufgrund der schweizerischen Rechtsvorschriften (vgl. Art. 1, 2 und 4 Sozialversicherungsabkommen).</w:t>
      </w:r>
    </w:p>
    <w:p>
      <w:r>
        <w:rPr>
          <w:b/>
        </w:rPr>
        <w:t>E. 3.2</w:t>
      </w:r>
    </w:p>
    <w:p>
      <w:r>
        <w:t>In materiellrechtlicher Hinsicht sind grundsätzlich diejenigen Rechtsvorschriften anwendbar, die bei Erfüllung des zu Rechtsfolgen führenden Sachverhalts Geltung haben (BGE 134 V 315 E. 1.2; BGE 130 V 329 E. 2.3). Damit finden grundsätzlich jene schweizerischen Rechtsvorschriften Anwendung, die beim Erlass der angefochtenen Verfügung vom 12. März 2015 in Kraft standen. Neben dem IVG (ab 1. Januar 2012 in der Fassung vom 18. März 2011 [AS 2011 5659; 6. IV-Revision]) und der Verordnung vom 17. Januar 1961 über die Invalidenversicherung (IVV, SR 831.201; in der entsprechenden Fassung)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3.3</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(vgl. aber Art. 10 Abs. 2 Satz 1 Sozialversicherungsabkommen).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3.5</w:t>
      </w:r>
    </w:p>
    <w:p>
      <w:r>
        <w:t>Ändert sich der Invaliditätsgrad eines Rentenbezüger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oder der Fähigkeit, sich im Aufgabenbereich zu betätigen, ist zu berücksichtigen, sobald sie ohne wesentliche Unterbrechung drei Monate gedauert hat (Art. 88a Abs. 2 IVV).</w:t>
      </w:r>
    </w:p>
    <w:p>
      <w:r>
        <w:rPr>
          <w:b/>
        </w:rPr>
        <w:t>E. 3.6</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BGE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3.7</w:t>
      </w:r>
    </w:p>
    <w:p>
      <w:r>
        <w:t>Die abweichende medizinische oder rechtliche Einschätzung von im Wesentlichen unveränderten tatsächlichen Verhältnissen führt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Urteil des BGer 9C_418/2010 vom 29. August 2011 E. 4.1). Im Hinblick auf die notwendige Unterscheidung einer bloss abweichenden Beurteilung von der tatsächlich eingetretenen Veränderung ist im Übrigen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 Urteil des BGer 9C_ 698/2012 vom 3. Mai 2013 E. 2.2).</w:t>
      </w:r>
    </w:p>
    <w:p>
      <w:r>
        <w:rPr>
          <w:b/>
        </w:rPr>
        <w:t>E. 3.8</w:t>
      </w:r>
    </w:p>
    <w:p>
      <w:r>
        <w:t>Nach ständiger Rechtsprechung begründen Alkoholismus, Medikamentenmissbrauch und Drogensucht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265 E. 3c S. 268; AHI 2002 S. 30; I 454/99 E. 2a). Dabei ist das ganze für die Sucht massgebende Ursachen- und Folgespektrum in eine Gesamtwürdigung einzubeziehen, was impliziert, dass einer allfälligen Wechselwirkung zwischen einer Suchtmittelabhängigkeit und der psychischen Begleiterkrankung Rechnung zu tragen ist. Was die krankheitsbedingten Ursachen der Sucht betrifft, ist für die invalidenversicherungsrechtliche Relevanz der Abhängigkeit erforderlich, dass dem Alkoholismus, dem Medikamentenmissbrauch oder der Drogensucht eine ausreichend schwere und ihrer Natur nach für die Entwicklung einer Suchtkrankheit geeignete Gesundheitsstörung zugrunde liegt, welche zumindest eine erhebliche Teilursache der Sucht darstellt. Mit dem Erfordernis des Krankheitswerts einer allfälligen verursachenden psychischen Krankheit wird verlangt, dass diese die Arbeits- und Erwerbsfähigkeit einschränkt. Wenn der erforderliche Kausalzusammenhang zwischen der Sucht und dem krankheitswertigen psychischen Gesundheitsschaden besteht, sind für die Frage der noch zumutbaren Erwerbstätigkeit die psychischen und die suchtbedingten Beeinträchtigungen gesamthaft zu berücksichtigen (vgl. Urteil des BGer 8C_906/2013 vom 23. Mai 2014 E. 2.2 mit Hinweisen).</w:t>
      </w:r>
    </w:p>
    <w:p>
      <w:r>
        <w:rPr>
          <w:b/>
        </w:rPr>
        <w:t>E. 4</w:t>
      </w:r>
    </w:p>
    <w:p>
      <w:r>
        <w:t>Der Beschwerdeführer wehrt sich gegen die revisionsweise Aufhebung seiner ganzen Invalidenrente und beantragt deren Weiterausrichtung rückwirkend per 1. Mai 2015.</w:t>
      </w:r>
    </w:p>
    <w:p>
      <w:r>
        <w:rPr>
          <w:b/>
        </w:rPr>
        <w:t>E. 4.1</w:t>
      </w:r>
    </w:p>
    <w:p>
      <w:r>
        <w:t>Die Parteien stimmen darin überein, dass die medizinischen Unterlagen, die der türkische Sozialversicherungsträger und der Beschwerdeführer einreichten (act. 78, 84, 96, 110, 111, 112, 130, 134, 139), eine revisionsrelevante Veränderung des Gesundheitszustands nicht mit überwiegender Wahrscheinlichkeit auszuweisen vermögen.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BGE 134 V 231 E. 5.1). Diese Vorgaben sind mit Blick auf die nur rudimentär abgefassten Unterlagen nicht erfüllt, weshalb sich der Gesundheitszustand ebenso wie die Arbeitsfähigkeit des Beschwerdeführers nicht zuverlässig beurteilen lassen. Auch auf die Aktenberichte des medizinischen Dienstes (act. 59, 89, 100, 115, 117, 143) ist unter diesen Umständen nicht abzustellen (vgl. Urteile des BGer 8C_653/2009 vom 28. Oktober 2009 E. 5.2 und 9C_1063/2009 vom 22. Januar 2010 E. 4.2.3). Die übereinstimmende Würdigung der medizinischen Aktenlage durch den Beschwerdeführer und die Vorinstanz ist deshalb nachvollziehbar. Die angefochtene Verfügung entbehrt einer ausreichenden sachlichen Grundlage, weshalb sie aufzuheben ist.</w:t>
      </w:r>
    </w:p>
    <w:p>
      <w:r>
        <w:rPr>
          <w:b/>
        </w:rPr>
        <w:t>E. 4.2</w:t>
      </w:r>
    </w:p>
    <w:p>
      <w:r>
        <w:t>Mit Bericht vom 17. April 2014 diagnostizierte eine medizinische Kommission des türkischen Gesundheitsministeriums eine leichte Depression. Die Kommission führte im Wesentlichen aus, die Leidensgeschichte des Beschwerdeführers dauere schon 15 bis 20 Jahre. Er mache eine medikamentöse Behandlung gegen die Depression, an der er seit ungefähr sechs Jahren leide. Die Symptome der - nun teilweise remittierten - Depression seien Schlaflosigkeit, Motivationsmangel, Abgeschlagenheit und Sorgen. Der Beschwerdeführer sei in seinem gegenwärtigen Gesundheitszustand arbeitsfähig. Der Bericht wurde von einem Ophthalmologen, einem Hals-Nasen-Ohren-Spezialisten, einem Neurologen, einem Allgemeinmediziner, einem Chirurgen, einem Psychiater und vom Krankenhausdirektor unterzeichnet (act. 112).</w:t>
      </w:r>
    </w:p>
    <w:p>
      <w:r>
        <w:rPr>
          <w:b/>
        </w:rPr>
        <w:t>E. 4.3</w:t>
      </w:r>
    </w:p>
    <w:p>
      <w:r>
        <w:t>Mit Bericht vom 24. November 2014 diagnostizierte ein vierköpfiger Ausschuss der Universität F._______ eine Dysthymie und ein Abhängigkeitssyndrom von mehr als einem Medikament und anderen psychoaktiven Stoffen. Der Ausschuss führte im Wesentlichen aus, der Beschwerdeführer sei am 5. November 2014 in der Klinik aufgenommen worden. Er nehme seit 1993 psychoaktive Stoffe zu sich. Er habe sich in mehreren ausländischen Anstalten einer stationären Behandlung gegen die Abhängigkeit unterzogen. Nach Beendigung einer Therapie und einer abstinenten Phase von zwei Jahren habe er einen Rückfall erlitten. In der Folge hätten die Minderwertigkeitsgefühle, die Schuldgefühle, die Niedergeschlagenheit, die Antriebslosigkeit, der Verlust der Lebensfreude und die Abnahme der Funktionsfähigkeit eingesetzt. Diese Symptomatik habe sich nun auch in der psychiatrischen Untersuchung gezeigt. Der Beschwerdeführer nehme weder eine Psychotherapie noch eine Pharmakotherapie in Anspruch, sodass seine Krankheit Chronizität erlangt habe. Der Ausschuss gelangte aufgrund der klinischen Auswertung zur Überzeugung, dass der Beschwerdeführer an einem nicht heilbaren Abhängigkeitssyndrom und einer ebenfalls nicht heilbaren Dysthymiestörung leide, und veranschlagte den Verlust der Arbeitsfähigkeit auf 45 % (act. 139).</w:t>
      </w:r>
    </w:p>
    <w:p>
      <w:r>
        <w:rPr>
          <w:b/>
        </w:rPr>
        <w:t>E. 4.4</w:t>
      </w:r>
    </w:p>
    <w:p>
      <w:r>
        <w:t>Auch wenn die Berichte der medizinischen Kommission des türkischen Gesundheitsministeriums und des vierköpfigen Ausschusses der Universität F._______ den beweisrechtlichen Anforderungen an einen Arztbericht nicht genügen, stellen sie doch ein Indiz für einen verbesserten Gesundheitszustand und ein wiedererlangtes Arbeitsvermögen dar. Namentlich wird nun anstelle einer schweren Depression, wie sie sich gemäss Dr. D._______ 2009 präsentierte (act. 23; vgl. auch act. 51), nur noch eine leichte Depression bzw. eine Dysthymie angegeben. Daher besteht ergänzender Abklärungsbedarf. Zur Feststellung des Gesundheitszustands und der Arbeitsfähigkeit scheint es unumgänglich, den Beschwerdeführer einer umfassenden Begutachtung zu unterziehen. Auch der Beschwerdeführer hat sich in der Beschwerde zunächst für dieses Vorgehen ausgesprochen (BVGer act. 1). In der Replik führte er dann neu aus, für eine Rückweisung der Sache an die Vorinstanz verbleibe kein Raum, da eine revisionsrelevante Änderung des Invaliditätsgrads nicht nachgewiesen sei (BVGer act. 12, 14). Dieser Einwand ist jedoch nicht stichhaltig, da eine weitere Abklärung nur unterbleiben könnte, wenn der medizinische Sachverhalt zumindest mit überwiegender Wahrscheinlichkeit erstellt wäre, was nicht zutrifft. Zu beurteilen ist in Anbetracht der Depression bzw. Dysthymie sowie des Suchtgeschehens insbesondere der psychische Zustand, womit ein Psychiater zu beauftragen ist. Mit Blick auf die bereits ab 1995 aktenkundige Alkohol-problematik in Verbindung mit weiteren Suchterkrankungen (Drogen und Medikamente) wird auch das Vorliegen von Organschäden durch einen Internisten zu beurteilen sein. Nach Ablauf von mehr als 20 Jahren ist dies angezeigt. Das Suchtgeschehen ist invalidenversicherungsrechtlich im Sinne der vorstehenden Erwägung 3.8 zu bewerten und gilt demnach nicht als unmittelbar invalidisierend. Zur Qualitätssicherung hat die Begutachtung in der Schweiz stattzufinden, ungeachtet der Tatsache, dass der Beschwerdeführer als Straftäter sein Aufenthaltsrecht einbüsste und in sein Heimatland Türkei ausgeschafft wurde (act. 45, 48, 51, 54).</w:t>
      </w:r>
    </w:p>
    <w:p>
      <w:r>
        <w:rPr>
          <w:b/>
        </w:rPr>
        <w:t>E. 4.5</w:t>
      </w:r>
    </w:p>
    <w:p>
      <w:r>
        <w:t>Mit rechtskräftiger Zwischenverfügung vom 26. Mai 2015 wies der Instruktionsrichter das Gesuch des Beschwerdeführers um Wiederherstellung der aufschiebenden Wirkung ab (BVGer act. 5). Mit Replik vom 31. August 2015 beantragte der Beschwerdeführer, die Vorinstanz sei anzuweisen, die eingestellte Invalidenrente rückwirkend per 1. Mai 2015 wieder auszurichten (BVGer act. 12, 14). Da keine Anhaltspunkte dafür bestehen, dass die Vorinstanz im Rahmen ihrer revisionsweisen Abklärungen missbräuchlich einen möglichst frühen Zeitpunkt der Rentenaufhebung provoziert hat, gilt der Entzug der aufschiebenden Wirkung während der Dauer des anstehenden Abklärungsverfahrens bis zur Neuverfügung fort. Die Vorinstanz hat mithin in diesem Zeitraum keine Rentenleistungen auszurichten. Der versicherten Person erwächst aus dieser Lösung kein Schaden: Ergeben die Abklärungen, dass die Voraussetzungen der Leistungsaufhebung im Zeitpunkt der ersten Verwaltungsverfügung nicht gegeben waren, erhält die versicherte Person die bis zur neuen Revisionsverfügung geschuldeten Leistungen nachgezahlt (vgl. Urteil des BGer 9C_301/2010 vom 21. Januar 2011 E. 3 mit Hinweisen). Bei dieser Sach- und Rechtslage ist das erneute Gesuch um Erteilung einer Anweisung auf Rentenausrichtung abzuweisen.</w:t>
      </w:r>
    </w:p>
    <w:p>
      <w:r>
        <w:rPr>
          <w:b/>
        </w:rPr>
        <w:t>E. 5</w:t>
      </w:r>
    </w:p>
    <w:p>
      <w:r>
        <w:t>Zusammenfassend ist festzuhalten, dass sich Gesundheitszustand und Arbeitsfähigkeit des Beschwerdeführers aufgrund der Aktenlage nicht zuverlässig beurteilen lassen, weshalb die Sache - auch auf deren Antrag - an die Vorinstanz zurückzuweisen ist (vgl. BGE 137 V 210 E. 4.4.1.4 und Urteil des BGer 8C_633/2014 vom 11. Dezember 2014 E. 3). Die Vorinstanz wird gestützt auf Art. 61 Abs. 1 VwVG angewiesen, eine psychiatrische und internistische Begutachtung in der Schweiz zu veranlassen. Nach Vornahme der medizinischen Abklärung wird die Vorinstanz über den Leistungsanspruch erneut zu verfügen haben. Dieser Verfahrensausgang gilt praxisgemäss als volles Obsiegen des Beschwerdeführers (vgl. BGE 132 V 215 E. 6). Gleichwohl hat die Vorinstanz bis zur Neuverfügung keine Rentenleistungen auszurichten.</w:t>
      </w:r>
    </w:p>
    <w:p>
      <w:r>
        <w:rPr>
          <w:b/>
        </w:rPr>
        <w:t>E. 6</w:t>
      </w:r>
    </w:p>
    <w:p>
      <w:r>
        <w:t>Zu befinden bleibt über die Verfahrenskosten sowie eine allfällige Parteientschädigung.</w:t>
      </w:r>
    </w:p>
    <w:p>
      <w:r>
        <w:rPr>
          <w:b/>
        </w:rPr>
        <w:t>E. 6.1</w:t>
      </w:r>
    </w:p>
    <w:p>
      <w:r>
        <w:t>Das Bundesverwaltungsgericht auferlegt gemäss Art. 63 Abs. 1 VwVG die Verfahrenskosten in der Regel der unterliegenden Partei. Da eine Rückweisung praxisgemäss als volles Obsiegen der Beschwerde führenden Partei gilt (BGE 137 V 57 E. 2.1 mit Hinweisen), sind dem Beschwerdeführer, dem mit rechtskräftiger Zwischenverfügung vom 5. Juni 2015 (BVGer act. 8) ohnehin die unentgeltliche Prozessführung bewilligt wurde, keine Verfahrenskosten aufzuerlegen. Auch der unterliegenden Vorinstanz sind keine Verfahrenskosten aufzuerlegen (Art. 63 Abs. 2 VwVG).</w:t>
      </w:r>
    </w:p>
    <w:p>
      <w:r>
        <w:rPr>
          <w:b/>
        </w:rPr>
        <w:t>E. 6.2</w:t>
      </w:r>
    </w:p>
    <w:p>
      <w:r>
        <w:t>Der obsiegende, durch einen schweizerischen Anwalt vertretene Beschwerdeführer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9C_592/2010 vom 23. März 2011). Nach der detaillierten Honorarnote, welche mit der Replik vom 31. August 2015 eingereicht wurde (BVGer act. 12, 14), ist dem Rechtsvertreter ein zeitlicher Aufwand von insgesamt 14.45 Stunden entstanden, was der Bedeutung und der Schwierigkeit der Streitsache angemessen erscheint. Gestützt auf Art. 10 Abs. 2 VGKE ist vorliegend von einem Stundenansatz für Anwälte von Fr. 230.- auszugehen. Unter Berücksichtigung der zusätzlichen Auslagen von Fr. 8.- für 16 Fotokopien ist eine Parteientschädigung von total Fr. 3'331.50 gerechtfertigt (14.45 Stunden x Fr. 230.-; zuzüglich Fr. 8.-; exklusive Mehrwertsteuer). Die Mehrwertsteuer ist nur für Dienstleistungen geschuldet, die im Inland gegen Entgelt erbracht werden, nicht jedoch im vorliegenden Fall, in dem die Dienstleistung für den Beschwerdeführer mit Wohnsitz im Ausland erbracht worden ist (vgl. Urteil des BVGer C-6983/2009 vom 12. April 2010). Die Parteientschädigung ist von der Vorinstanz nach Eintritt der Rechtskraft des vorliegenden Urteils zu leisten. Die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