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C-2787/2012 vom 7. März 2013</w:t>
      </w:r>
    </w:p>
    <w:p>
      <w:r>
        <w:t>Bundesverwaltungsgericht, 2013-03-07, IT</w:t>
      </w:r>
    </w:p>
    <w:p>
      <w:r>
        <w:rPr>
          <w:b/>
        </w:rPr>
        <w:t xml:space="preserve">Quelle: </w:t>
      </w:r>
      <w:r>
        <w:t>https://mcp.opencaselaw.ch/entscheid/bvger_C-2787_2012</w:t>
      </w:r>
    </w:p>
    <w:p>
      <w:r>
        <w:t>FR: TAF C-2787/2012 du 7 mars 2013</w:t>
      </w:r>
    </w:p>
    <w:p>
      <w:r>
        <w:t>IT: TAF C-2787/2012 del 7 marzo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La ricorrente è cittadina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Tuttavia, il caso in esame rimane regolato, anche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Ciò detto, nella misura in cui l'Accordo, in particolare l'allegato II, non prevede disposizioni contrarie, l'organizzazione della procedura, come pure l'esame delle condizioni di ottenimento di una rendita d'invalidità svizzera, sono regolate dal diritto interno svizzero (DTF 130 V 257 consid. 2.4). Così, per costante giurisprudenza, l'ottenimento di una pensione straniera d'invalidità non pregiudica l'apprezzamento di un'invalidità secondo il diritto svizzero (sentenza del Tribunale federale I 435/02 del 4 febbraio 2003, consid. 2).</w:t>
      </w:r>
    </w:p>
    <w:p>
      <w:r>
        <w:rPr>
          <w:b/>
        </w:rPr>
        <w:t>E. 3</w:t>
      </w:r>
    </w:p>
    <w:p>
      <w:r>
        <w:t>L'esame del diritto a prestazioni secondo la LAI è retto dal tenore della stessa al momento della decisione impugnata, in virtù del principio secondo il quale sono determinanti le norme materiali in vigore al momento della realizzazione dello stato di fatto giuridicamente determinante (DTF 130 V 445 consid. 1.2 e relativi riferimenti). Le disposizioni della 5a revisione della LAI, in vigore dal 1° gennaio 2008, si applicano quindi in concreto, visto che la procedura di revisione è stata iniziata nel 2010, come pure le norme della 6a revisione della LAI (primo pacchetto di misure), in vigore dal 1° gennaio 2012 (RU 2011 5659; FF 2010 1603). Sono inoltre applicabili le disposizioni della LPGA, se e per quanto la LAI lo preveda (art. 2 LPGA).</w:t>
      </w:r>
    </w:p>
    <w:p>
      <w:r>
        <w:rPr>
          <w:b/>
        </w:rPr>
        <w:t>E. 4</w:t>
      </w:r>
    </w:p>
    <w:p>
      <w:r>
        <w:t>La ricorrente contesta la validità materiale della decisione dell'UAIE, chiedendo che le sia riconosciuto il diritto ad una rendita intera d'invalidità o, a titolo sussidiario, di grado inferiore.</w:t>
      </w:r>
    </w:p>
    <w:p>
      <w:r>
        <w:rPr>
          <w:b/>
        </w:rPr>
        <w:t>E. 5</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e art. 87 segg. OAI, Jurisprudence et pratique administrative [Pratique VSI] 1999 pag. 8, DTF 117 V 198). In concreto, la prima decisione di rifiuto della domanda di rendita è stata emessa dall'UAIE il 5 maggio 2003 (doc. 13), mentre la seconda, qui impugnata, il 12 aprile 2012 (doc. 48). Ne consegue che il periodo di rife­rimento per giudicare se è intervenuta una modifica rilevante del grado d'invalidità intercorre tra queste due date.</w:t>
      </w:r>
    </w:p>
    <w:p>
      <w:r>
        <w:rPr>
          <w:b/>
        </w:rPr>
        <w:t>E. 6</w:t>
      </w:r>
    </w:p>
    <w:p>
      <w:r>
        <w:t>Secondo le norme applicabili, per avere diritto ad una rendita dell'assicurazione per l'invalidità svizzera, una cittadina italiana deve, cumulativamente, essere invalida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la ricorrente adempie la condizione della durata minima di contribuzione. Rimane ora da esaminare se sia invalida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pag.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fonda la sua decisione, salvo disposizioni di legge contrarie, su fatti che, senza essere stabiliti in modo irrefutabile, appaiono come i più verosimili, ossia che presentano un grado di verosimiglianza preponderante (DTF 126 V 353 consid. 5b e relativi riferimenti). Egli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la ricorrente ha pagato da ultimo contributi come lavoratrice autonoma durante il periodo da febbraio a giungo 2005 (doc. 24/2), e l'impresa di suo marito è stata cancellata dal relativo registro il 30 dicembre 2010, a causa della cessazione di ogni attività (doc. 29/10), per cui bisogna ammettere che, almeno da quest'ultima data, la ricorrente non esercita più alcuna attività lucrativa. Ne discende che occorre fondarsi sui documenti medici allo scopo di valutare la sua capacità lavorativa (cfr. consid. 7.5).</w:t>
      </w:r>
    </w:p>
    <w:p>
      <w:r>
        <w:rPr>
          <w:b/>
        </w:rPr>
        <w:t>E. 9.2</w:t>
      </w:r>
    </w:p>
    <w:p>
      <w:r>
        <w:t>Dall'insieme della documentazione medica agli atti e, essenzialmente, dalla perizia E 213 della dott.ssa B._______, medico dell'INPS, del 15 settembre 2011 (doc. 15), e dal rapporto finale del dott. C._______, medico dell'UAIE, del 1° febbraio 2012 (doc. 46), risulta la diagnosi di poliartrosi, d'obesità, di gotta, di stato ansioso-depressivo, d'ipertensione arteriosa, di gozzo, di steatosi epatica nonché d'esiti da linfangite del membro inferiore sinistro.</w:t>
      </w:r>
    </w:p>
    <w:p>
      <w:r>
        <w:rPr>
          <w:b/>
        </w:rPr>
        <w:t>E. 9.3</w:t>
      </w:r>
    </w:p>
    <w:p>
      <w:r>
        <w:t>Rispetto alle conseguenze invalidanti delle affezioni diagnosticate, la dott.ssa B._______ ha constatato, nella sua perizia E 213, che la ricorrente non può più eseguire a tempo pieno il suo ultimo lavoro di collaboratrice di macelleria, ma che è in grado di svolgere regolarmente lavori leggeri, a tempo pieno, con possibilità di cambiamenti posturali, alternando deambulazione, stazione eretta e posizione seduta, senza ritmi particolarmente stressanti, controindicati essendo l'umidità, il freddo, il calore, il lavoro notturno, a turni e implicante il rischio di cadute, frequenti flessione, il trasporto e il sollevamento di pesi, come pure la salita di piani inclinati, di scale o scale a pioli. Il medico dell'INPS ha peraltro fissato un grado d'invalidità, secondo criteri propri del diritto italiano. Dal canto suo, il dott. C._______ ha rilevato, nel suo primo rapporto finale (doc. 46), che non sussiste alcuna incapacità lavorativa di lunga durata, e ciò indipendentemente dal fatto che la ricorrente abbia indicato, nei questionari da lei compilati il 20 dicembre 2011 (doc. 29/1 a 8), di avere diminuito per ragioni di salute il tempo di lavoro a ore tre giornaliere e diciotto settimanali. Il medico dell'UAIE ha in particolare notato che non è possibile rinvenire un sostrato organico, come un deficit neurologico, dei movimenti deficitari e della claudicazione a sinistra, descritti nella perizia E 213, emettendo l'ipotesi che si tratti della conseguenza di un'obesità morbosa, la quale è atta in generale a causare problemi alle articolazioni e fenomeni artrosici, non invalidanti, con la sofferenza che ne deriva.</w:t>
      </w:r>
    </w:p>
    <w:p>
      <w:r>
        <w:rPr>
          <w:b/>
        </w:rPr>
        <w:t>E. 9.4</w:t>
      </w:r>
    </w:p>
    <w:p>
      <w:r>
        <w:t>Nel quadro della presente procedura di ricorso il medico dell'UAIE ha passato in rivista la nuova documentazione esibita dalla ricorrente. Così, nel suo secondo rapporto finale (doc. 50), dopo avere ripreso i termini del primo rapporto, egli ha sottolineato in sostanza che i documenti medici allegati al ricorso, di cattiva qualità e praticamente illeggibili, non mostrano nuovi elementi diagnostici, tantomeno invalidanti. Nel suo terzo ed ultimo rapporto finale (doc. 52), una volta riesposto il contenuto dei suoi due precedenti rapporti, il medico dell'UAIE ha evidenziato che i documenti medici allegati alla replica riferiscono solamente un nuovo elemento diagnostico, ossia la posa di una protesi al ginocchio destro, il 29 marzo 2012, in seguito ad una severa gonartrosi, la quale non è però suscettibile, visto lo stato asintomatico del ginocchio dopo l'intervento, di causare un'incapacità lavorativa di lunga durata, vale a dire superiore a quattro o sei mesi, alla quale sarebbe necessario aggiungere un periodo riabilitativo con specificati i limiti funzionali almeno per l'inizio della ripresa del lavoro (attività in posizione alternata o seduta, che permettano di evitare la posizione in ginocchio o accovacciata, e non implichino il sollevamento di pesi superiori a 15 kg e la salite di scale).</w:t>
      </w:r>
    </w:p>
    <w:p>
      <w:r>
        <w:rPr>
          <w:b/>
        </w:rPr>
        <w:t>E. 9.5</w:t>
      </w:r>
    </w:p>
    <w:p>
      <w:r>
        <w:t>Tenuto conto di quanto precede e, principalmente, della valutazione del dott. C._______, questo Tribunale rimarca che la ricorrente non ha presentato un'incapacità lavorativa generale di lunga durata sul periodo dal 5 maggio 2003 fino al 28 marzo 2012, inizio del ricovero ospedaliero per l'impianto di una protesi totale del ginocchio destro. Ciò detto, sempre seguendo il parere del dott. C._______, questo Tribunale riconosce nel contempo che il detto intervento chirurgico ha dovuto causare un'incapacità lavorativa di una durata presumibile di quattro o sei mesi, senza contare il susseguente periodo riabilitativo, la quale esorbita però ampiamente dal periodo d'esame qui determinante (cfr. consid. 5), dimodoché il ricorso, da questo punto di vista, deve essere considerato come una nuova domanda di rendita relativa al periodo dal 28 marzo 2012 in poi.</w:t>
      </w:r>
    </w:p>
    <w:p>
      <w:r>
        <w:rPr>
          <w:b/>
        </w:rPr>
        <w:t>E. 10</w:t>
      </w:r>
    </w:p>
    <w:p>
      <w:r>
        <w:t>Di conseguenza, il ricorso deve essere respinto e la decisione impugnata confermata. L'incarto è trasmesso all'UAIE affinché tratti la nuova domanda di rendita ed emani la corrispondente decisione impugnabile.</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il Tribunale amministrativo federale può quindi pronunciare, quale giudice unico, il rigetto del presente ricorso.</w:t>
      </w:r>
    </w:p>
    <w:p>
      <w:r>
        <w:rPr>
          <w:b/>
        </w:rPr>
        <w:t>E. 12</w:t>
      </w:r>
    </w:p>
    <w:p>
      <w:r>
        <w:t>Secondo l'art. 63 cpv. 1 PA, le spese processuali sono di regola messe a carico della parte soccombente. In concreto, visto l'esito della procedura, le dette spese sono poste a carico della ricorrente e compensate con l'anticipo versato il 17 dicembre 2012 e 18 gennaio 2013.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