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C-2785/2012 vom 17. Juli 2013</w:t>
      </w:r>
    </w:p>
    <w:p>
      <w:r>
        <w:t>Bundesverwaltungsgericht, 2013-07-17, DE</w:t>
      </w:r>
    </w:p>
    <w:p>
      <w:r>
        <w:rPr>
          <w:b/>
        </w:rPr>
        <w:t xml:space="preserve">Quelle: </w:t>
      </w:r>
      <w:r>
        <w:t>https://mcp.opencaselaw.ch/entscheid/bvger_C-2785_2012</w:t>
      </w:r>
    </w:p>
    <w:p>
      <w:r>
        <w:t>FR: TAF C-2785/2012 du 17 juillet 2013</w:t>
      </w:r>
    </w:p>
    <w:p>
      <w:r>
        <w:t>IT: TAF C-2785/2012 del 17 luglio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Der angefochtenen Verfügung liegt das Gesuch einer thailändischen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Bürger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thailändischen Staatsangehörigkeit unterliegt die Gesuchstellerin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6.1</w:t>
      </w:r>
    </w:p>
    <w:p>
      <w:r>
        <w:t>Trotz der grundsätzlich positiven wirtschaftlichen Entwicklung in Thailand sind dort nach wie vor breite Bevölkerungsschichten von kargen ökonomischen und sozialen Lebensbedingungen betroffen. Die Gesuchstellerin stammt aus der Provinz Surin im Nordosten Thailands und damit aus einem Gebiet, das im landesweiten Vergleich als ärmstes von insgesamt sechs Regionen gilt (vgl. www.thaiwebsites.com &gt; Main Directory &gt; Economy and Politics in Thailand &gt; GDP of Thai Regions and Provinces, besucht im Juli 2013).</w:t>
      </w:r>
    </w:p>
    <w:p>
      <w:r>
        <w:rPr>
          <w:b/>
        </w:rPr>
        <w:t>E. 6.2</w:t>
      </w:r>
    </w:p>
    <w:p>
      <w:r>
        <w:t>Vom Druck zur wirtschaftlichen Existenzsicherung sind in Thailand Frauen ganz besonders betroffen, die mit ihrem Einkommen oft für die Überlebenschancen ihrer eigenen Haushalte oder gar grösserer sozialer Einheiten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&gt; Drucksachen; zu den wirtschaftlichen Eckdaten allgemein vgl. Staatssekretariat für Wirtschaft &gt; Themen &gt; Aus­senwirtschaft &gt; Länderinformationen &gt; Asien/Ozeanien &gt; Thailand, http://www.seco.admin.ch&gt;, Stand: Februar 2013, besucht im Juli 2013).</w:t>
      </w:r>
    </w:p>
    <w:p>
      <w:r>
        <w:rPr>
          <w:b/>
        </w:rPr>
        <w:t>E. 6.3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6.4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28-jährige, unverheiratete Frau, die alleinerziehende Mutter eines 9-jährigen Sohnes ist. Sie und ihr Kind leben in familiärer Gemeinschaft mit ihren Eltern auf deren Farmbetrieb. Ob noch weitere Familienmitglieder dort wohnen, ist nicht bekannt. Als Mutter eines inzwischen neunjährigen Kindes hat die Gesuchstellerin durchaus familiäre Betreuungspflichten, die sie - bis auf eine knapp achtmonatige berufsbedingte Ortsabwesenheit im Jahre 2011 - offenbar auch stets selbst wahrgenommen hat.</w:t>
      </w:r>
    </w:p>
    <w:p>
      <w:r>
        <w:rPr>
          <w:b/>
        </w:rPr>
        <w:t>E. 7.2</w:t>
      </w:r>
    </w:p>
    <w:p>
      <w:r>
        <w:t>Die Gesuchstellerin arbeitet im Landwirtschaftsbetrieb ihrer Eltern mit, dies nachdem sie zwischen Januar und September 2011 in einem Hotel in Pattaya einer Erwerbstätigkeit als Zimmermädchen nachgegangen war. Das Arbeitsverhältnis hat sie - aus der von ihr eingereichten Bestätigung zu schliessen - selbst aufgelöst. Dass sie zur Sicherung ihrer Existenz überhaupt auf Erwerbseinkommen aus einem externen Anstellungsverhältnis angewiesen ist, scheint eher fraglich. Denn die Schilderungen in den Akten lassen darauf schliessen, dass die Familie der Gesuchstellerin grosse Plantagen (Zuckerrohr, Reis, Kartoffeln und Kautschukbäume) bewirtschaftet und sich dadurch in vergleichsweise komfortablen wirtschaftlichen Verhältnissen befinden dürfte. Vor diesem Hintergrund ist nicht nachvollziehbar, weshalb die Schweizer Vertretung in Bangkok in ihrem Begleitformular zur Einsprache vom 12. März 2012 die entsprechende Rubrik "arbeitslos" markierte. Richtig ist, dass die Gesuchstellerin sich nicht in einem eigentlichen Anstellungsverhältnis befindet, was aber unter den bereits erläuterten Umständen nicht entscheidend sein kann. In den vorhandenen Akten sind keine konkreten Anhaltspunkte dafür auszumachen, dass die Gesuchstellerin sich aus wirtschaftlichen Gründen zu einer Emigration entschliessen könnte.</w:t>
      </w:r>
    </w:p>
    <w:p>
      <w:r>
        <w:rPr>
          <w:b/>
        </w:rPr>
        <w:t>E. 7.3</w:t>
      </w:r>
    </w:p>
    <w:p>
      <w:r>
        <w:t>Zwar dauert die Bekanntschaft zwischen Gast und Gastgeber erst zwei Jahre. Die Beiden stehen allerdings in einem sehr intensiven Kontakt zueinander, so aus den Schilderungen des Beschwerdeführers zu schliessen, an denen zu zweifeln kein Anlass besteht. Demnach telefonieren sie täglich miteinander und haben mindestens fünfmal in der Woche Kontakt per Skype. Kommt hinzu, dass der Beschwerdeführer die Gesuchstellerin allein schon im Zeitraum zwischen Februar 2012 und Januar 2013 fünfmal in Thailand besucht und dabei auch unbezahlten Urlaub bezogen hat. Besondere Sicherheit dürfte sich auch aus dem Umstand ergeben, dass der Beschwerdeführer die Gesuchstellerin für ihren Besuchsaufenthalt in Thailand abholen und anschliessend auch wieder dorthin zurück begleiten will. Das doch eher aussergewöhnliche Engagement des Gastgebers (im Hinblick auf einen ordnungsgemässen Verlauf des geplanten Besuchsaufenthaltes) auf der einen Seite und die aufgezeigten Verhältnisse der Gesuchstellerin auf der anderen Seite lassen auf eine genügende Gewähr für lautere Absichten schliessen. Auch wenn das Risiko für eine Missachtung ausländerrechtlicher Normen nie gänzlich ausgeschlossen werden kann, erscheint es vorliegend doch als gering. Es ist mit anderen Worten nicht davon auszugehen, es bestünden Hinderungsgründe dieser Art gemäss Art. 5 SGK bzw. Art. 5 AuG für die Erteilung des beantragten Visums.</w:t>
      </w:r>
    </w:p>
    <w:p>
      <w:r>
        <w:rPr>
          <w:b/>
        </w:rPr>
        <w:t>E. 8</w:t>
      </w:r>
    </w:p>
    <w:p>
      <w:r>
        <w:t>Indem die Vorinstanz den entscheidsrelevanten Sachverhalt wesentlich anders gewichtete, hat sie Bundesrecht verletzt (Art. 49 Bst. a VwVG). Die Beschwerde ist daher gutzuheissen, die angefochtene Verfügung ist aufzuheben und die Sache zur neuerlichen Beurteilung an die Vorinstanz zurückzuweisen. Dabei bleibt von der Vorinstanz zu prüfen, ob auch die übrigen in Art. 5 SGK genannten Einreisevoraussetzungen erfüllt sind.</w:t>
      </w:r>
    </w:p>
    <w:p>
      <w:r>
        <w:rPr>
          <w:b/>
        </w:rPr>
        <w:t>E. 9</w:t>
      </w:r>
    </w:p>
    <w:p>
      <w:r>
        <w:t>Entsprechend dem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zur wirksamen Verfolgung seiner Interessen im Beschwerdeverfahren vermutungsweise keine notwendigen und verhältnismässig hohen Kosten erwachsen sind (Art. 64 Abs. 1 VwVG i.V.m. Art. 7 Abs. 4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