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C-2771/2010 vom 3. Februar 2012</w:t>
      </w:r>
    </w:p>
    <w:p>
      <w:r>
        <w:t>Bundesverwaltungsgericht, 2012-02-03, DE</w:t>
      </w:r>
    </w:p>
    <w:p>
      <w:r>
        <w:rPr>
          <w:b/>
        </w:rPr>
        <w:t xml:space="preserve">Quelle: </w:t>
      </w:r>
      <w:r>
        <w:t>https://mcp.opencaselaw.ch/entscheid/bvger_C-2771_2010</w:t>
      </w:r>
    </w:p>
    <w:p>
      <w:r>
        <w:t>FR: TAF C-2771/2010 du 3 février 2012</w:t>
      </w:r>
    </w:p>
    <w:p>
      <w:r>
        <w:t>IT: TAF C-2771/2010 del 3 febbraio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VwVG,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legitimiert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w:t>
      </w:r>
    </w:p>
    <w:p>
      <w:r>
        <w:rPr>
          <w:b/>
        </w:rPr>
        <w:t>E. 3</w:t>
      </w:r>
    </w:p>
    <w:p>
      <w:r>
        <w:t>Die Beschwerdeführerin macht zunächst in formeller Hinsicht eine Verletzung ihres Anspruchs auf rechtliches Gehör geltend. Sie sei von der Vorinstanz nicht über die Eröffnung eines Verfahrens informiert worden und habe nie die Gelegenheit erhalten, Beweismittel vorzulegen und zu den Vorhaltungen ihr gegenüber Stellung zu nehmen. Zudem erwiesen sich die Erwägungen der Vorinstanz als wenig ausführlich.</w:t>
      </w:r>
    </w:p>
    <w:p>
      <w:r>
        <w:rPr>
          <w:b/>
        </w:rPr>
        <w:t>E. 3.1</w:t>
      </w:r>
    </w:p>
    <w:p>
      <w:r>
        <w:t>Der Anspruch auf rechtliches Gehör, wie ihn Lehre und Rechtsprechung aus Artikel 29 Abs. 2 BV ableiten und wie er sich für das Bundesverwaltungsverfahren aus den Art. 29 ff. VwVG ergibt, umfasst eine Anzahl verschiedener verfassungsrechtlicher Verfahrensgarantien (vgl. aus der Literatur etwa Ulrich Häfelin/Georg Müller/Felix Uhlmann, Allgemeines Verwaltungsrecht, 6. Aufl., Zürich/St. Gallen 2010, Rz. 1680 ff.; Alfred Kölz/Isabelle Häner, Verwaltungsverfahren und Verwaltungsrechtspflege des Bundes, 2. Aufl., Zürich 1998, S. 46, 107 ff.; Markus Schefer, Grundrechte in der Schweiz, Bern 2005, S. 285 ff.). Dazu gehört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2007/21 E. 10.2). Ebenfalls Teilgehalt des Anspruchs auf rechtliches Gehör im Sinne von Art. 29 Abs. 2 BV ist die Begründungspflicht. Gemäss Art. 35 Abs. 1 VwVG sind die Behörden verpflichtet, schriftli­che Verfügungen zu begründen.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muss die Begründung zumindest kurz die wesentlichen Überlegungen nennen, von denen sich die Behörde hat leiten lassen und auf die sie ihre Verfügung stützt. Dagegen wird nicht verlangt, dass sich die Begründung mit allen Parteistandpunkten einlässlich auseinandersetzt und jedes einzelne Vorbringen ausdrücklich widerlegt (vgl. BGE 137 II 266 E. 3.2 S. 270). Vielmehr kann sie sich auf die für den Entscheid wesentlichen Gesichtspunkte beschränken. Die Anforderungen an die Begründung sind umso höher, je weiter der Entscheidungsspielraum der entscheidenden Behörde und je komplexer die Sach- und Rechtslage ist (vgl. BVGE 2007/27 E. 5.5.2 und BGE 133 I 270 E. 3.1 S. 277 je mit Hinweisen, sowie Felix Uhlmann/Alexandra Schwank, in: Bernhard Waldmann/Philippe Weissenberger [Hrsg.], Praxiskommentar VwVG, Zürich 2009, N 17 ff. zu Art. 35; ebenso Lorenz Kneubühler, in: Christoph Auer/Markus Müller/Benjamin Schindler [Hrsg.], Kommentar zum Bundesgesetz über das Verwaltungsverfahren [VwVG], Zürich/St. Gallen 2008, Rz. 4 ff. zu Art. 35 VwVG).</w:t>
      </w:r>
    </w:p>
    <w:p>
      <w:r>
        <w:rPr>
          <w:b/>
        </w:rPr>
        <w:t>E. 3.2</w:t>
      </w:r>
    </w:p>
    <w:p>
      <w:r>
        <w:t>Aus den Akten geht hervor, dass der Beschwerdeführerin anlässlich ihrer Befragung durch die Flughafenpolizei am 28. Juni 2009 zur Kenntnis gebracht wurde, dass gegen sie gestützt auf den geschilderten Sachverhalt die Verhängung eines Einreiseverbots geprüft werden könne. Dabei erhielt sie auch die Gelegenheit, ihren Standpunkt darzulegen und sachdienliche Beweismittel beizubringen bzw. zu nennen (vgl. Beschwerdebeilage 10: Formular "Rechtliches Gehör [Fernhaltemassnahme]" vom 28. Juni 2009). Von dieser Möglichkeit machte die Beschwerdeführerin offenbar keinen Gebrauch. Die Verweigerung der Unterschrift auf dem entsprechenden Formular ändert nichts daran, dass ihr Gehörsanspruch durch das geschilderte Vorgehen der Behörden gewahrt wurde. Die Vorinstanz hat die angefochtene Verfügung zudem zwar konzis, jedoch unter Darlegung der massgeblichen Aspekte sowie nachvollziehbar begründet. Die Begründungsdichte erwies sich offenkundig als hinreichend, war der Beschwerdeführerin eine sachgerechte Anfechtung doch offenkundig möglich. Die Rüge der Verletzung des Gehörsanspruchs erweist sich damit als unbegründet.</w:t>
      </w:r>
    </w:p>
    <w:p>
      <w:r>
        <w:rPr>
          <w:b/>
        </w:rPr>
        <w:t>E. 4.1</w:t>
      </w:r>
    </w:p>
    <w:p>
      <w:r>
        <w:t>Auf den 1. Januar 2011 trat als Folge der Weiterentwicklung des Schengen-Besitzstandes eine neue Fassung des das Einreiseverbot regelnden Art. 67 AuG in Kraft (zum Ganzen vgl. BBl 2009 8881 und AS 2010 5925 sowie bspw. Urteil des Bundesverwaltungsgerichts C 2316/2010 vom 20. Dezember 2011 E. 3.2 am Anfang). Übergangsbestimmungen wurden keine erlassen. Diese Rechtsänderung ist allerdings im Falle der Beschwer­deführerin nicht von Relevanz. Denn der zuvor in Art. 67 Abs. 1 AuG geregelte Fernhaltegrund des Verstosses gegen die öffentliche Sicher­heit und Ordnung wurde unverändert in Abs. 2 der neuen Norm über­nommen. Betroffen ist die Beschwerdeführerin auch nicht von der Neu­formulierung in Art. 67 Abs. 3 AuG, steht doch kein Einreiseverbot von mehr als fünf Jahren zur Diskussion. Der Anwendung des neuen Rechts - auf das nachfolgend der Einfachheit halber allein Bezug genom­men wird - steht somit nichts entgegen.</w:t>
      </w:r>
    </w:p>
    <w:p>
      <w:r>
        <w:rPr>
          <w:b/>
        </w:rPr>
        <w:t>E. 4.2</w:t>
      </w:r>
    </w:p>
    <w:p>
      <w:r>
        <w:t>Nach Art. 67 Abs. 2 AuG kann ein Einreiseverbot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 Die verfügende Behörde kann nach Art. 67 Abs. 5 AuG aus humanitären oder anderen wichtigen Gründen von der Verhängung eines Einreiseverbots absehen oder ein Einreiseverbot vollständig oder vor­übergehend aufheben. Die bisherige Praxis der Vorinstanz bei der Ansetzung von Fernhaltemassnahmen ist mit den obgenannten Grundsätzen vereinbar (vgl. BBl 2009 8896 ad Art. 67 Abs. 3 in fine sowie Urteil des Bundesverwaltungsgerichts C 2482/2009 vom 28. Januar 2011 E. 6.2 in fine).</w:t>
      </w:r>
    </w:p>
    <w:p>
      <w:r>
        <w:rPr>
          <w:b/>
        </w:rPr>
        <w:t>E. 4.3</w:t>
      </w:r>
    </w:p>
    <w:p>
      <w:r>
        <w:t>Das Einreiseverbot stellt keine Sanktion dar, sondern eine Massnahme, um künftigen Störungen der öffentlichen Sicherheit und Ordnung vorzubeugen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Widerhandlungen gegen Normen des Ausländerrechts fallen ohne weiteres unter diese Begriffsbestimmung und können daher Anlass für die Verhängung eines Einreiseverbots sein, wobei der Erlass einer solchen Massnahme, wie erwähnt, stets zum Schutz vor künftigen Störungen und nicht im Sinne einer Sanktion erfolgt (vgl. Botschaft, a.a.O., 3813).</w:t>
      </w:r>
    </w:p>
    <w:p>
      <w:r>
        <w:rPr>
          <w:b/>
        </w:rPr>
        <w:t>E. 4.4</w:t>
      </w:r>
    </w:p>
    <w:p>
      <w:r>
        <w:t>Für die Verhängung eines Einreiseverbots ist kein vorsätzlicher Verstoss gegen ausländerrechtliche Bestimmungen erforderlich. Es genügt,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der zuständigen Stelle zu informieren (vgl. nur Urteil des Bundesverwaltungsgerichts C 2206/2010 vom 2. Dezember 2011 E. 4.3 mit Hinweis).</w:t>
      </w:r>
    </w:p>
    <w:p>
      <w:r>
        <w:rPr>
          <w:b/>
        </w:rPr>
        <w:t>E. 4.5</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 Ziff. 4 i.V.m. 25 Abs. 1 Bst. a [ii] der Vor­ordnung [EG] Nr. 810/2009 des Europäi­schen Parlaments und des Rates vom 13. Juli 2009 über einen Visakodex der Gemeinschaft [Visakodex], Abl. L 243 vom 15. September 2009).</w:t>
      </w:r>
    </w:p>
    <w:p>
      <w:r>
        <w:rPr>
          <w:b/>
        </w:rPr>
        <w:t>E. 5.1</w:t>
      </w:r>
    </w:p>
    <w:p>
      <w:r>
        <w:t>Das sogenannte "einheitliche Visum", das bei Vorliegen sämtlicher Einreisevoraussetzungen erteilt wird (vgl. Art. 13 Abs. 1 i.V.m. Art. 5 Abs. 1 SGK, Art. 21 Abs. 1, Art. 23 Abs. 4 und Art. 32 Visakodex; vgl. auch Art. 12 Abs. 1 i.V.m. Art. 2 der Verordnung vom 22. Oktober 2008 über die Einreise und die Visumerteilung [VEV, SR 142.204]), gilt für das gesamte Hoheitsgebiet der Schengen-Mitgliedstaaten (vgl. Art. 2 Ziff. 3 Visakodex). Einer Person, der ein solches Visum ausgestellt wird, ist ein sogenannter "kurzfristiger Aufenthalt", das heisst ein Aufenthalt von höchstens drei Monaten pro Halbjahr im gesamten Schengen-Raum ge­stattet (vgl. Art. 5 Abs. 1, Art. 10 Abs. 1 i.V.m. Art. 11 Abs. 1 Bst. a SDÜ; vgl. auch Art. 32 Abs. 1 [iv] Visakodex; für den entsprechenden "bewilligungsfreien Aufenthalt" - in der Terminologie des nationalen Rechts - vgl. Art. 10 AuG, Art. 9 Abs. 1 VZAE). Für "längerfristige", das heisst länger als drei Monate je Sechsmonatszeitraum dauernde Aufenthalte kann demgegenüber kein Schengen-Visum erteilt werden bzw. ist stets ein nationales Visum erforderlich (vgl. Art. 18 SDÜ). Vor dem Hintergrund dieser Bestimmungen versteht sich von selbst, dass sich im Falle eines einheitlichen Visums die Dauer des gestatteten Aufenthalts auf das Hoheitsgebiet sämtlicher Schengen-Staaten bezieht, somit der Aufenthalt insgesamt die Dauer von 90 Tagen je Sechsmonatszeitraum nicht überschreiten darf.</w:t>
      </w:r>
    </w:p>
    <w:p>
      <w:r>
        <w:rPr>
          <w:b/>
        </w:rPr>
        <w:t>E. 5.2</w:t>
      </w:r>
    </w:p>
    <w:p>
      <w:r>
        <w:t>Der der angefochtenen Verfügung zugrundeliegende Sachverhalt ist unbestritten. Aufgrund ihrer Staatsangehörigkeit unterliegt die Beschwerdeführerin der Visumspflicht (vgl. Art. 4 Abs. 1 VEV mit Verweis auf die Verordnung [EG] Nr. 539/2001 des Rates vom 15. März 2001; vgl. insbesondere deren Anhang I). Am 18. Februar 2009 wurde ihr - wie bereits erwähnt - vom Schweizer Generalkonsulat in Jeddah ein (bis zum 7. Juli 2009 gültiges) Einreisevisum für den Schengen-Raum für einen Aufenthalt zu touristischen Zwecken von maximal 90 Tagen ausgestellt. Sie selbst gibt in ihrer Beschwerdeschrift an, sich ab ihrer Einreise in den Schengen-Raum via Genf am 23. Februar 2009 bis zum Tag ihres Rückflugs ab Zürich am 28. Juni 2009 in der Schweiz und in Frankreich aufgehalten zu haben. Ein- und Ausreisestempel in ihrem Reisepass belegen diese Daten. Mit ihrem Aufenthalt über eine Zeitspanne von 127 Tagen hat sie die Dauer des ihr aufgrund des Visums vom 18. Februar 2009 gestatteten kurzfristigen Aufenthalts um 37 Tage überschritten und sich damit rechtswidrig im Schengen-Raum aufgehalten (sogenannter "Overstay"). Die Beschwerdeführerin bringt zur Begründung ihrer Beschwerdebegehren vornehmlich vor, sie habe unvorsätzlich den Visumsbestimmungen zuwidergehandelt bzw. gegen die Rechtsordnung verstossen. Dass die Aufenthalte in den einzelnen Schengen-Mitgliedstaaten zusammengezählt und die in Frankreich zugebrachten Tage auf die 90 gestatteten Aufenthaltstage angerechnet würden, sei ihr nicht bewusst gewesen, zumal auf dem Visum die Zahl der Einreisen mit "multiples" (für mehrfache Einreisen) angegeben gewesen sei (vgl. Beschwerdeschrift S. 5 f. und 15). Diese Darstellung erscheint jedoch unplausibel, zumal das Visum den Vermerk "Etats Schengen" enthält und damit in - auch für die Beschwerdeführerin - augenfälliger Weise für das Hoheitsgebiet sämtlicher Schengen-Staaten Gültigkeit hatte. Abgesehen davon ist - wie dargelegt (vgl. E. 4.4) - ein vorsätzlicher Gesetzesverstoss im vorliegenden Zusammenhang nicht erforderlich. Zumindest eine Sorgfaltspflichtverletzung muss sich die Beschwerdeführerin unter den gegebenen Umständen auf jeden Fall vorwerfen lassen: In den Jahren 2007 und 2008 waren ihr ein respektive zwei Visa für Einreisen in die Schweiz zu touristischen Zwecken erteilt worden. Das veränderte Erscheinungsbild des ihr am 18. Februar 2009 ausgestellten Visums (und insbesondere der erwähnte neue Vermerk "Etats Schengen") hätte sie zumindest dazu veranlassen sollen, sich hinsichtlich der geltenden Bestimmungen zu informieren. Das Statthalteramt Bülach stützte sich in seiner Strafverfügung vom 24. Juli 2009 (vgl. Sachverhalt Bst. B) auf die Strafbestimmung von Art. 115 Abs. 1 Bst. b i.V.m. Abs. 3 AuG und verurteilte die Beschwerdeführerin wegen fahrlässigen widerrechtlichen Verweilens im Lande bis 30 Tage nach Ablauf des bewilligten (bzw. bewilligungsfreien) Aufenthalts. Strenggenommen ergibt sich die Rechtswidrigkeit von deren Tun jedoch erst unter Zugrundelegung der erwähnten (auch für die Schweiz geltenden) Bestimmungen des Schengen-Rechts (vgl. E. 5.1) sowie unter Anrechnung des Aufenthalts in Frankreich. In der Schweiz hielt sie sich zwar lediglich während 54 Tagen auf; ihre Anwesenheit am 28. Juni 2009, dem Tag ihrer Ausreise nach Saudi-Arabien, liegt jedoch ausserhalb des bewilligungsfreien Aufenthalts, weshalb insofern der Vorwurf des rechtswidrigen Aufenthalts in Frage kommt. Jedoch knüpft das Einreiseverbot ohnehin nicht an die Erfüllung einer Strafnorm an, eine strafrechtliche Verurteilung ist somit nicht Voraussetzung für die Verhängung. Massgeblich ist - wie dargelegt - vielmehr das Vorliegen einer Polizeigefahr (vgl. bspw. Urteil des Bundesverwaltungsgerichts C 6017/2010 vom 19. April 2011 E. 6.1 mit Hinweis).</w:t>
      </w:r>
    </w:p>
    <w:p>
      <w:r>
        <w:rPr>
          <w:b/>
        </w:rPr>
        <w:t>E. 5.3</w:t>
      </w:r>
    </w:p>
    <w:p>
      <w:r>
        <w:t>Weiter fällt vorliegend in Betracht, dass die Beschwerdeführerin Visumsbestimmungen wiederholt auch in Bezug auf den Zweck des Aufenthalts zuwidergehandelt hat.</w:t>
      </w:r>
    </w:p>
    <w:p>
      <w:r>
        <w:rPr>
          <w:b/>
        </w:rPr>
        <w:t>E. 5.3.1</w:t>
      </w:r>
    </w:p>
    <w:p>
      <w:r>
        <w:t>Ein für die Schengen-Staaten gültiges Einreisevisum kann insbesondere zu beruflichen, Studien- oder sonstigen Ausbildungszwecken, für touristische oder private Reisen oder für solche zu (politischen, wissenschaftlichen oder sonstigen) Veranstaltungen ausgestellt werden (vgl. Art. 15 i.V.m. Art. 5 Abs. 1 Bst. c SDÜ, Art. 5 Abs. 1 Bst. c und Abs. 3 sowie insbesondere Anhang I SGK, Art. 14 Abs. 1 Bst. a - c Visakodex). Zu weitgehend denselben Zwecken konnte vor Inkrafttreten der Schengen-Bestimmungen ein für die Schweiz gültiges Einreisevisum erteilt werden (vgl. Art. 13 Abs. 1 VEV in der Fassung vom 24. Oktober 2007 [AS 2007 5537]). In casu wurde das Visum vom 18. Februar 2009 - wie die drei früheren Visa aus den Jahren 2007 und 2008 - zu touristischen Zwecken ausgestellt; auch im jüngsten Visumsantrag vom 12. September 2009 nannte die Beschwerdeführerin wiederum "Tourismus" als Aufenthaltszweck.</w:t>
      </w:r>
    </w:p>
    <w:p>
      <w:r>
        <w:rPr>
          <w:b/>
        </w:rPr>
        <w:t>E. 5.3.2</w:t>
      </w:r>
    </w:p>
    <w:p>
      <w:r>
        <w:t>Dass es der in Saudi-Arabien als "Hausangestellte" ("house maid" [vgl. Gesuch vom 12. September 2009]) tätigen Beschwerdeführerin ohne weiteres möglich sein soll, ein- bis zweimal pro Jahr einen Tourismus-Aufenthalt von mehreren Monaten in der Schweiz zu finanzieren, erscheint wenig überzeugend. In ihren Eingaben führt sie denn auch durchwegs aus, die Betreuung der betagten A._______ stelle seit mehreren Jahren ihre vollzeitliche Beschäftigung in Saudi-Arabien dar; ihre Arbeitgeberin sei zur Bewältigung des Alltags zwingend auf sie angewiesen. A._______ weile regelmässig in der Schweiz zu Besuch (bei Y._______) und sie, die Beschwerdeführerin, komme auch während dieser Auslandsaufenthalte ihren üblichen Verpflichtungen ihrer Arbeitgeberin gegenüber nach (vgl. insbesondere Beschwerdeschrift S. 3 ff. und S. 17 sowie als Beschwerdebeilage 6 eingereichtes Arztzeugnis vom 16. April 2010). Hinsichtlich ihres Aufenthalts in Frankreich (vom 15. April bis 28. Juni 2009) macht sie explizit geltend, sie sei dorthin gereist, um A._______ zu betreuen (Beschwerdeschrift S. 5 f. samt Bestätigungsschreiben des Direktors des Jiva Hill Park Hotels vom 13. April 2010 [Beschwerdebeilage 9]). In diesem Zusammenhang ergibt sich (zunächst) eine Unstimmigkeit: In der Rechtsmitteleingabe gibt die Beschwerdeführerin an, sich am 15. April 2009 (von Genf aus) zu ihrer in Frankreich weilenden Arbeitgeberin begeben zu haben, da diese ihrer Betreuung bedurft habe (vgl. Beschwerdeschrift S. 5). A._______ erhielt jedoch erst am 11. Mai 2009 ein (bis zum 2. November 2009) für die Schengen-Staaten gültiges Visum und ihre Einreise in die Schweiz (via Genf) erfolgte erst am 12. Juni 2009, mithin zwei Wochen vor der Wiederausreise der Beschwerdeführerin aus dem Schengen-Raum (vgl. Kopie des Reisepasses von A._______ mit Visum und Einreisestempel). Dass sie sich nach Frankreich begeben habe, um ihre Arbeitgeberin aufzusuchen und zu betreuen, kann daher nicht zutreffen. Aus den Angaben und Ausführungen der Beschwerdeführerin geht jedenfalls klar hervor, dass der tatsächliche Zweck ihrer bisherigen Aufenthalte in der Schweiz bzw. im Schengen-Raum nicht dem von ihr in den Visumsanträgen angegebenen (Tourismus) entsprach. Vielmehr benutzte sie offenbar die ihr zu diesem Zweck erteilten Visa wiederholt bzw. regelmässig dazu, hier ihrer regulären Erwerbstätigkeit nachzugehen. Ein solcher Aufenthaltszweck erweist sich jedoch als von den ausgestellten Visa nicht gedeckt. Auch mit diesem Vorgehen hat die Beschwerdeführerin somit Visumsbestimmungen zuwidergehandelt, ihr zumindest insoweit wohl von vorsätzlichem Handeln ihrerseits auszugehen ist.</w:t>
      </w:r>
    </w:p>
    <w:p>
      <w:r>
        <w:rPr>
          <w:b/>
        </w:rPr>
        <w:t>E. 5.4</w:t>
      </w:r>
    </w:p>
    <w:p>
      <w:r>
        <w:t>Zusammenfassend ist festzuhalten, dass die Beschwerdeführerin wiederholt gesetzlichen Vorschriften zuwidergehandelt hat. Insbesondere vor dem Hintergrund der Umstände ihrer bisherigen Aufenthalte im Schengen-Raum, der offenbar - unveränderten - Lage und Betreuungssituation von A._______ sowie der Ausführungen in der Rechtsmitteleingabe, die ähnliche Aufenthalte in der Zukunft zumindest nicht ausgeschlossen erscheinen lassen (vgl. Beschwerdeschrift S. 17, wo gar vom "löblichen Ziel" ihrer Aufenthalte die Rede ist, ihrer Arbeitgeberin Unterstützung zu leisten), ist von einem Verstoss bzw. einer Gefährdung der öffentlichen Sicherheit und Ordnung in der Schweiz bzw. im Ausland gemäss Art. 67 Abs. 2 Bst. a AuG auszugehen. Die Voraussetzungen für die Anordnung einer Fernhaltemassnahme erweisen sich demnach als erfüllt.</w:t>
      </w:r>
    </w:p>
    <w:p>
      <w:r>
        <w:rPr>
          <w:b/>
        </w:rPr>
        <w:t>E. 6</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a.a.O., Rz. 613 ff.).</w:t>
      </w:r>
    </w:p>
    <w:p>
      <w:r>
        <w:rPr>
          <w:b/>
        </w:rPr>
        <w:t>E. 6.1</w:t>
      </w:r>
    </w:p>
    <w:p>
      <w:r>
        <w:t>Das Fehlverhalten der Beschwerdeführerin wiegt objektiv nicht leicht. Es beinhaltet die Missachtung ausländerrechtlicher Normen, denen im Interesse einer funktionierenden Rechtsordnung eine zentrale Bedeutung zukommt. Das generalpräventiv motivierte Interesse, die ausländerrechtliche Ordnung durch eine konsequente Massnahmenpraxis gegenüber fehlbaren ausländischen Personen zu schützen, ist ganz allgemein als gewichtig zu betrachten. Eine spezialpräventive Zielsetzung der Massnahme ist darin zu sehen, dass sie die Betroffene ermahnt, inskünftig den für sie geltenden Regeln nachzuleben. Bezüglich der subjektiven Seite bestehen zumindest Zweifel am fehlenden Bewusstsein der Beschwerdeführerin hinsichtlich des Überschreitens der Dauer des gestatteten Aufenthalts. Diese ergeben sich insbesondere aufgrund ihrer früheren Aufenthalte in der Schweiz und der Vermerke auf dem Visum vom 18. Februar 2009. Zumindest in Bezug auf die Missachtung des Aufenthaltszwecks ist zudem von vorsätzlichem Handeln ihrerseits auszugehen. Es besteht mithin ein gewichtiges öffentliches Interesse an ihrer befristeten Fernhaltung.</w:t>
      </w:r>
    </w:p>
    <w:p>
      <w:r>
        <w:rPr>
          <w:b/>
        </w:rPr>
        <w:t>E. 6.2</w:t>
      </w:r>
    </w:p>
    <w:p>
      <w:r>
        <w:t>Eine Beeinträchtigung ihrer eigenen, persönlichen Interessen durch das verhängte Einreiseverbot macht die Beschwerdeführerin nicht geltend. Im vorliegenden Zusammenhang bringt sie lediglich vor, in Anbe­tracht ihres fehlenden Bewusstseins bzw. Vorsatzes hinsichtlich der Zuwiderhandlung, der Geringfügigkeit ihrer Verfehlung sowie des (erwähnten) "löblichen Ziels" ihrer Aufenthalte in der Schweiz bzw. im Schengen-Raum erweise sich die angeordnete Fernhaltemassnahme insbesondere hinsichtlich ihrer Dauer als unverhältnismässig (vgl. Beschwerdeschrift S. 16). Stünde einzig ein einmaliger, fahrlässiger Verstoss gegen die Rechtsordnung in Form eines relativ geringfügigen Überschreitens der Dauer des kurzfristigen Aufenthalts in Frage, könnte sich unter Umständen auch ein Einreiseverbot von einer kürzeren Dauer als das in casu verhängte als gerechtfertigt erweisen (vgl. in diesem Zusammenhang bspw. bereits erwähntes Urteil des Bundesverwaltungsgerichts C 2206/2010 E. 6 mit weiteren Hinweisen und Urteile C 5458/2010 vom 3. November 2011 E. 7 sowie C 7820/2009 und C 7821/2009 vom 4. November 2011 E. 7). In casu ist die angeordnete Massnahme auch hinsichtlich ihrer Dauer nicht zu beanstanden, zumal der Beschwerdeführerin darüber hinaus vorzuwerfen ist, wiederholt bzw. regelmässig einen unzutreffenden Aufenthaltszweck angegeben bzw. sich in Missachtung des Aufenthaltszwecks der ausgestellten Visa im Schengen-Raum aufgehalten zu haben (vgl. E. 5.3).</w:t>
      </w:r>
    </w:p>
    <w:p>
      <w:r>
        <w:rPr>
          <w:b/>
        </w:rPr>
        <w:t>E. 6.3</w:t>
      </w:r>
    </w:p>
    <w:p>
      <w:r>
        <w:t>Eine Abwägung der gegenläufigen öffentlichen und privaten Interessen führt das Bundesverwaltungsgericht zum Schluss, dass das verhängte Einreiseverbot sowohl im Grundsatz als auch hinsichtlich seiner Dauer eine verhältnismässige und angemessene Massnahme zum Schutz der öffentlichen Sicherheit und Ordnung darstellt.</w:t>
      </w:r>
    </w:p>
    <w:p>
      <w:r>
        <w:rPr>
          <w:b/>
        </w:rPr>
        <w:t>E. 7</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8</w:t>
      </w:r>
    </w:p>
    <w:p>
      <w:r>
        <w:t>Bei diesem Ausgang des Verfahrens sind der Beschwerdeführerin die auf Fr. 600.- festzusetzenden Kosten aufzuerlegen (Art. 63 Abs. 1 VwVG i.V.m. Art. 1, Art. 2 und Art. 3 Bst. b des Reglements vom 21. Februar 2008 über die Kosten und Entschädigungen vor dem Bundesverwaltungsgericht [VGKE], SR 173.320.2).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