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C-2770/2006 vom 3. September 2008</w:t>
      </w:r>
    </w:p>
    <w:p>
      <w:r>
        <w:t>Bundesverwaltungsgericht, 2008-09-03, FR</w:t>
      </w:r>
    </w:p>
    <w:p>
      <w:r>
        <w:rPr>
          <w:b/>
        </w:rPr>
        <w:t xml:space="preserve">Quelle: </w:t>
      </w:r>
      <w:r>
        <w:t>https://mcp.opencaselaw.ch/entscheid/bvger_C-2770_2006</w:t>
      </w:r>
    </w:p>
    <w:p>
      <w:r>
        <w:t>FR: TAF C-2770/2006 du 3 septembre 2008</w:t>
      </w:r>
    </w:p>
    <w:p>
      <w:r>
        <w:t>IT: TAF C-2770/2006 del 3 settembre 2008</w:t>
      </w:r>
    </w:p>
    <w:p>
      <w:pPr>
        <w:pStyle w:val="Heading2"/>
      </w:pPr>
      <w:r>
        <w:t>Regeste</w:t>
      </w:r>
    </w:p>
    <w:p>
      <w:r>
        <w:t>Assurance-invalidité (AI)</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sur le Tribunal administratif fédéral du 17 juin 2005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donc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pour autant que la même matière soit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2.4</w:t>
      </w:r>
    </w:p>
    <w:p>
      <w:r>
        <w:t>S'agissant du droit applicable, il convient encore de préciser qu'à partir du 1er janvier 2004, la présente procédure est régie par la teneur de la LAI modifiée par la novelle du 21 mars 2003 (4e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 Les dispositions de la LAI et de son règlement d'exécution seront don citées dans leur teneur en vigueur jusqu'au 31 décembre 2007.</w:t>
      </w:r>
    </w:p>
    <w:p>
      <w:r>
        <w:rPr>
          <w:b/>
        </w:rPr>
        <w:t>E. 3</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selon laquelle les rentes correspondant à un taux d'invalidité inférieur à 50% ne sont versées qu'aux assurés qui ont leur domicile et leur résidence habituelle en Suisse (art. 13 LPGA), n'est plus applicable à l'assuré ressortissant suisse ou d'un pays membre de l'Union européenne (ci-après: UE) qui a son domicile et sa résidence habituelle dans l'UE.</w:t>
      </w:r>
    </w:p>
    <w:p>
      <w:r>
        <w:rPr>
          <w:b/>
        </w:rPr>
        <w:t>E. 4.3</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4.4</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5.1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5.2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6.1</w:t>
      </w:r>
    </w:p>
    <w:p>
      <w:r>
        <w:t>En l'espèce la décision de refus se fonde sur la position du Dr L._______ du service médical de l'OAIE, laquelle reprend un diagnostic qui n'est en soi pas contesté par le recourant. Pour l'essentiel figurent au dossier, outre l'avis précité, deux types de documentations médicales pertinentes: celle du Dr. A._______, médecin traitant du recourant et l'expertise E 213 du Dr G._______. Le diagnostic d'éthylisme chronique et de névrose chronique n'est évoqué que par le Dr G._______, dans une expertise qui bien que datant visiblement de 2005 se fonde sur un examen pratiqué en août 2004. Le Dr A._______ ne décrit ni problème psychique ni dépendance. Or, la documentation médicale établie par ses soins est datée de 2005 et de 2006. On serait donc porté à croire dans un premier temps que cette problématique s'est peut-être stabilisée, toutefois le Dr A._______ n'en fait pas état non plus dans les antécédents du patient. Il sied aussi de relever que l'OAIE avait pris soin de requérir le 30 mai 2005 la documentation médicale ayant fondé sa décision auprès de l'institution française de sécurité sociale accordant une rente de deuxième catégorie à l'assuré (autrement dit, selon l'art. L341-4 du code français de sécurité sociale consulté le 30 juillet 2008 sur le site Internet www.legifrance.gouv.fr, une rente pour les "invalides absolument incapables d'exercer une activité quelconque"). Cette demande n'a pas été suivie d'effet motif pris que selon la réglementation en vigueur, seul le rapport E 213 doit être établi. Comme le précisait dans sa réponse du 30 juin 2008 l'institution française compétente, rien n'empêche toutefois l'autorité suisse de solliciter de l'assuré les informations médicales supplémentaires souhaitées, voire nécessaires. Ce qui ne semble pas avoir été fait.</w:t>
      </w:r>
    </w:p>
    <w:p>
      <w:r>
        <w:rPr>
          <w:b/>
        </w:rPr>
        <w:t>E. 6.2</w:t>
      </w:r>
    </w:p>
    <w:p>
      <w:r>
        <w:t>En l'état, le tableau clinique résultant du dossier n'est pas très clair. Toutefois, on observe que les prestations AI ont avant tout été refusée en raison de l'absence de comorbidité psychiatrique liée à la dépendance alcoolique, laquelle n'est - comme il vient d'être dit - relevé que dans l'expertise E 213.</w:t>
      </w:r>
    </w:p>
    <w:p>
      <w:r>
        <w:rPr>
          <w:b/>
        </w:rPr>
        <w:t>E. 7.1</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Toutefois l'existence d'une comorbité psychiatrique - dont le diagnostic doit être posé lege artis - n'est pas suffisante en soi pour conclure à une invalidité du chef de la dépendance, elle doit présenter un certain degré de gravité et d'acuité pour justifier une diminution de la capacité de travail et de gain (arrêt du Tribunal fédéral 9C_395/2007 du 15 avril 2008 consid. 2.2 et 2.3 et les références citées) De plus, lorsqu'une indication au sujet d'une éventuelle souffrance psychique se trouve dans le dossier, une investigation psychiatrique est nécessaire afin de clarifier la situation et de définir clairement l'état de santé de l'assuré (cf. arrêt du Tribunal fédéral I 260/00 du 29 novembre 2000 consid. 3a).</w:t>
      </w:r>
    </w:p>
    <w:p>
      <w:r>
        <w:rPr>
          <w:b/>
        </w:rPr>
        <w:t>E. 7.2</w:t>
      </w:r>
    </w:p>
    <w:p>
      <w:r>
        <w:t>En l'espèce, aucun diagnostic se référant une classification connue n'a été établi par un spécialiste au sujet des troubles psychiques que ceux-ci soient induits ou indépendants du problème éthylique évoqué par le Dr G._______. Le Dr L._______ ne s'y est point trompé puisqu'il en fait lui-même la remarque dans sa prise de position du 5 octobre 2005, ce qui ne l'empêche pas de retenir tout de même une névrose chronique dans son diagnostic et d'exclure sans plus d'explication une comorbité psychiatrique alors qu'il n'est lui-même pas titulaire d'une spécialisation dans le domaine de la santé mentale. Il faut encore relever que tant le Dr G._______ que le Dr A._______, qui ont tous les deux examiné le patient et consulté la totalité du dossier médical, affirment que le recourant ne peut plus travailler dans une quelconque profession. Si les motifs qui les conduisent à défendre une limitation totale de la capacité de travail ne sont pas définis avec rigueur (l'un pour des raisons mentales, l'autre somatiques -), il revenait à l'autorité de demander des précisions à ce sujet, voire de diligenter une expertise pluridisciplinaire. Les éléments anamnestiques recueillis ne sont pas suffisants pour déterminer la chronologie et l'étiologie de l'alcoolisme. Aussi, en l'absence d'une expertise complète (avec un volet psychiatrique), il n'est pas possible de savoir si le recourant souffre d'un trouble psychique, si l'alcoolisme est sevré, s'il est secondaire à une pathologie antérieure et cas échéant quels sont les effets combinés des deux pathologies.</w:t>
      </w:r>
    </w:p>
    <w:p>
      <w:r>
        <w:rPr>
          <w:b/>
        </w:rPr>
        <w:t>E. 8.1</w:t>
      </w:r>
    </w:p>
    <w:p>
      <w:r>
        <w:t>Au vu de ce qui précède force est de constater que la Cour de céans ne peut pas suivre l'autorité intimée faute d'un dossier suffisamment instruit lui permettant avec une vraisemblance prépondérante de déterminer l'état de santé du recourant et sa capacité de travail résiduelle.</w:t>
      </w:r>
    </w:p>
    <w:p>
      <w:r>
        <w:rPr>
          <w:b/>
        </w:rPr>
        <w:t>E. 8.2</w:t>
      </w:r>
    </w:p>
    <w:p>
      <w:r>
        <w:t>Il se justifie donc d'admettre partiellement le recours dans le sens d'un renvoi de la cause à l'autorité intimée afin qu'elle complète le dossier en faisant procéder à une expertise pluridisciplinaire incluant un volet psychiatrique.</w:t>
      </w:r>
    </w:p>
    <w:p>
      <w:r>
        <w:rPr>
          <w:b/>
        </w:rPr>
        <w:t>E. 9</w:t>
      </w:r>
    </w:p>
    <w:p>
      <w:r>
        <w:t>Conformément aux dispositions transitoires relatives à la modification du 16 décembre 2005 de la LAI, il n'est pas perçu de frais de procédure, l'ancien droit s'appliquant aux recours pendants auprès de la Commission fédérale de recours en matière d'AVS/AI au moment de l'entrée en vigueur de la modification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