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C-2767/2008 vom 30. Oktober 2009</w:t>
      </w:r>
    </w:p>
    <w:p>
      <w:r>
        <w:t>Bundesverwaltungsgericht, 2009-10-30, DE</w:t>
      </w:r>
    </w:p>
    <w:p>
      <w:r>
        <w:rPr>
          <w:b/>
        </w:rPr>
        <w:t xml:space="preserve">Quelle: </w:t>
      </w:r>
      <w:r>
        <w:t>https://mcp.opencaselaw.ch/entscheid/bvger_C-2767_2008</w:t>
      </w:r>
    </w:p>
    <w:p>
      <w:r>
        <w:t>FR: TAF C-2767/2008 du 30 octobre 2009</w:t>
      </w:r>
    </w:p>
    <w:p>
      <w:r>
        <w:t>IT: TAF C-2767/2008 del 30 ottobre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Rechtssprechung stellt das Sozialversicherungsgericht bei der Beurteilung einer Streitsache in der Regel auf den bis zum Zeitpunkt des Erlasses der streitigen Verfügung (hier: 28. März 2008) eingetretenen Sachverhalt ab (BGE 129 V 1 E. 1.2 mit Hinweisen). Tatsachen, die jenen Sachverhalt seither verändert haben, sollen im Normalfall Gegenstand einer neuen Verwaltungsverfügung sein (BGE 121 V 362 E. 1b).</w:t>
      </w:r>
    </w:p>
    <w:p>
      <w:r>
        <w:rPr>
          <w:b/>
        </w:rPr>
        <w:t>E. 2.2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jüngst als Staat anerkannten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Die Frage ob, und gegebenenfalls ab wann Anspruch auf Leistungen der IV besteht, bestimmt sich daher vorliegend alleine aufgrund der schweizerischen Rechtsvorschriften.</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Gesetzesänderungen zu beachten (AS 2007 5129).</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Die einschlägige Bestimmung der seit 1. Januar 2008 gültigen Fassung (Art. 29 Abs. 4 IVG [5. IV-Revision]) wurde zwar neu formuliert, hat aber inhaltlich keine Änderung erfahren, weshalb die hierzu entwickelte Rechtssprechung übernommen und weitergeführt werden kann. Für den Beschwerdeführer als Bürger von Kosovo findet diese Ausnahme jedoch keine Anwendung.</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w:t>
      </w:r>
    </w:p>
    <w:p>
      <w:r>
        <w:t>Vorliegend ist zu prüfen, ob und gegebenenfalls seit wann und in welchem Umfang der Beschwerdeführer Anspruch auf eine Invalidenrente hat.</w:t>
      </w:r>
    </w:p>
    <w:p>
      <w:r>
        <w:rPr>
          <w:b/>
        </w:rPr>
        <w:t>E. 4.1</w:t>
      </w:r>
    </w:p>
    <w:p>
      <w:r>
        <w:t>Gemäss den vom Beschwerdeführer eingereichten medizinischen Unterlagen leidet dieser an einer "Sociopathie", einer dissozialen Persönlichkeitsstörung (F 60.2), einer emotional instabilen Persönlichkeitsstörung (F 60.3) sowie einer rezidivierenden depressiven Störung, gegenwärtig mittelgradige Episode mit somatischem Syndrom (F 33.11).</w:t>
      </w:r>
    </w:p>
    <w:p>
      <w:r>
        <w:rPr>
          <w:b/>
        </w:rPr>
        <w:t>E. 4.2</w:t>
      </w:r>
    </w:p>
    <w:p>
      <w:r>
        <w:t>Dr. med. D._______ des regionalärztlichen Dienstes kommt gestützt auf die gestellten Diagnosen und die beschriebene Medikation zum Schluss, dass der Beschwerdeführer seit 1999 in der bisherigen Tätigkeit zu 70% arbeitsunfähig sei, während die Arbeitsfähigkeit in Verweisungstätigkeiten weiterhin 100% betrage (act. 19, 28 und 44).</w:t>
      </w:r>
    </w:p>
    <w:p>
      <w:r>
        <w:rPr>
          <w:b/>
        </w:rPr>
        <w:t>E. 4.3</w:t>
      </w:r>
    </w:p>
    <w:p>
      <w:r>
        <w:t>Der Beschwerdeführer macht im Wesentlichen geltend, dass er zu 100% arbeitsunfähig sei, was auch aus den medizinischen Unterlagen hervorgehe. Zudem weist er auf die fehlenden Eingliederungsmöglichkeiten und die Tatsache hin, dass sich die Depression verstärkt habe und die Beschwerden zugenommen hätten. Die Vorinstanz entgegnet gestützt auf die Beurteilung von Dr. med. D._______, dass die vorgebrachten psychischen Leiden keine Schwere aufwiesen, die einer leichteren leidensangepassten Verweisungstätigkeit entgegenstünde.</w:t>
      </w:r>
    </w:p>
    <w:p>
      <w:r>
        <w:rPr>
          <w:b/>
        </w:rPr>
        <w:t>E. 4.4</w:t>
      </w:r>
    </w:p>
    <w:p>
      <w:r>
        <w:t>Die Stellungnahmen von Dr. med. D._______ erfolgten in Würdigung aller eingereichten und ihm unterbreiteten ärztlichen Berichte. Diese Beurteilung beruht auf allseitigen Untersuchungen, berücksichtigt die geklagten Beschwerden, erfolgte in Kenntnis der Vorakten (Anamnese) und leuchtet in der Beurteilung der medizinischen Diagnosen und der Auswirkung auf die Erwerbsfähigkeit ein. Es sprechen keine konkreten Indizien gegen deren Zuverlässigkeit.</w:t>
      </w:r>
    </w:p>
    <w:p>
      <w:r>
        <w:rPr>
          <w:b/>
        </w:rPr>
        <w:t>E. 4.5</w:t>
      </w:r>
    </w:p>
    <w:p>
      <w:r>
        <w:t>Entgegen der Auffassung des Beschwerdeführers ist die geltend gemachte Arbeitsunfähigkeit von 100% aufgrund der von ihm eingereichten medizinischen Unterlagen keinesfalls belegt. Wenn sich der Beschwerdeführer im vorliegenden Fall auf die Tatsache abstützt, dass die ausländischen Ärzte eine höhere Arbeitsunfähigkeit annehmen, so ist dies für sich alleine für die schweizerischen Behörden nicht bindend, denn nach ständiger Rechtsprechung präjudiziert eine andere Beurteilung oder gar die Gewährung von Leistungen durch ein ausländisches Versicherungsorgan die invalidenversicherungsrechtliche Beurteilung nach schweizerischem Recht nicht (Urteil des EVG I 435/02 vom 2. März 2003, ZAK 1989 S. 320 E. 2). Auch die vom Beschwerdeführer im vorliegenden Beschwerdeverfahren zusätzlich eingereichten medizinischen Kurzatteste sind nicht geeignet, die Beurteilung von Dr. med. D._______ in Frage zu stellen, da sie aufgrund der im Wesentlichen gleichlautenden Befunde und Medikation keine neuen medizinischen Erkenntnisse beinhalten.</w:t>
      </w:r>
    </w:p>
    <w:p>
      <w:r>
        <w:rPr>
          <w:b/>
        </w:rPr>
        <w:t>E. 4.6</w:t>
      </w:r>
    </w:p>
    <w:p>
      <w:r>
        <w:t>Zusammenfassend ist demnach festzuhalten, dass keine Gründe ersichtlich sind, von der Beurteilung von Dr. med. D._______ abzuweichen. Damit ist nicht zu beanstanden, dass die IVSTA dieser Beurteilung gefolgt ist.</w:t>
      </w:r>
    </w:p>
    <w:p>
      <w:r>
        <w:rPr>
          <w:b/>
        </w:rPr>
        <w:t>E. 4.7</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 Der von der IVSTA vorgenommene Einkommensvergleich (act. 30) wird vom Beschwerdeführer nicht beanstandet. Verglichen wurde dabei das zumutbare Einkommen ohne Invalidität von Fr. 5'034.23 (LSE 2004 des Bundesamtes für Statistik, Fr. 4'829.- angepasst an die durchschnittliche Wochenarbeitszeit von 41.7 Stunden) und das zumutbare Erwerbseinkommen mit Invalidität von Fr. 4'771.52, ausgehend vom Durchschnitt der gemäss LSE 2004 in Frage stehenden Tabellenlöhne. Dabei resultiert ein Invaliditätsgrad von (abgerundet) 5%. Das Bundesverwaltungsgericht sieht keine Anhaltspunkte, dass der Einkommensvergleich nicht bundesrechtskonform erstellt worden ist.</w:t>
      </w:r>
    </w:p>
    <w:p>
      <w:r>
        <w:rPr>
          <w:b/>
        </w:rPr>
        <w:t>E. 4.8</w:t>
      </w:r>
    </w:p>
    <w:p>
      <w:r>
        <w:t>Es besteht somit kein Anspruch auf Invalidenrente. Die IVSTA hat das Leistungsbegehren des Beschwerdeführers folglich zu Recht abgewiesen. Die Beschwerde ist daher im einzelrichterlichen Verfahren gemäss Art. 23 Abs. 2 VGG in Verbindung mit Art. 69 Abs. 2 IVG und Art. 85bis Abs. 3 AHVG abzuweisen.</w:t>
      </w:r>
    </w:p>
    <w:p>
      <w:r>
        <w:rPr>
          <w:b/>
        </w:rPr>
        <w:t>E. 5</w:t>
      </w:r>
    </w:p>
    <w:p>
      <w:r>
        <w:t>Zu befinden bleibt noch über die Verfahrenskosten und eine allfällige Parteientschädigung.</w:t>
      </w:r>
    </w:p>
    <w:p>
      <w:r>
        <w:rPr>
          <w:b/>
        </w:rPr>
        <w:t>E. 5.1</w:t>
      </w:r>
    </w:p>
    <w:p>
      <w:r>
        <w:t>Die Verfahrenskosten sind dem unterliegenden Beschwerdeführer aufzuerlegen (Art. 63 Abs. 1 VwVG) und mit dem geleisteten Kostenvorschuss von Fr. 300.- zu verrechnen.</w:t>
      </w:r>
    </w:p>
    <w:p>
      <w:r>
        <w:rPr>
          <w:b/>
        </w:rPr>
        <w:t>E. 5.2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