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C-2763/2007 vom 1. Juli 2008</w:t>
      </w:r>
    </w:p>
    <w:p>
      <w:r>
        <w:t>Bundesverwaltungsgericht, 2008-07-01, DE</w:t>
      </w:r>
    </w:p>
    <w:p>
      <w:r>
        <w:rPr>
          <w:b/>
        </w:rPr>
        <w:t xml:space="preserve">Quelle: </w:t>
      </w:r>
      <w:r>
        <w:t>https://mcp.opencaselaw.ch/entscheid/bvger_C-2763_2007</w:t>
      </w:r>
    </w:p>
    <w:p>
      <w:r>
        <w:t>FR: TAF C-2763/2007 du 1 juillet 2008</w:t>
      </w:r>
    </w:p>
    <w:p>
      <w:r>
        <w:t>IT: TAF C-2763/2007 del 1 luglio 2008</w:t>
      </w:r>
    </w:p>
    <w:p>
      <w:pPr>
        <w:pStyle w:val="Heading2"/>
      </w:pPr>
      <w:r>
        <w:t>Regeste</w:t>
      </w:r>
    </w:p>
    <w:p>
      <w:r>
        <w:t>Einreise</w:t>
      </w:r>
    </w:p>
    <w:p>
      <w:pPr>
        <w:pStyle w:val="Heading2"/>
      </w:pPr>
      <w:r>
        <w:t>Erwägungen</w:t>
      </w:r>
    </w:p>
    <w:p>
      <w:r>
        <w:rPr>
          <w:b/>
        </w:rPr>
        <w:t>E. 1.1</w:t>
      </w:r>
    </w:p>
    <w:p>
      <w:r>
        <w:t>Verfügungen des Bundesamtes für Migration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Die Beschwerdeführer sind gemäss Art. 48 VwVG zur Beschwerde legitimiert; auf die frist- und formgerecht eingereichte Beschwerde ist einzutreten (Art. 49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Inkraftreten des AuG eingereicht worden sind, das bisherige Recht anwendbar. Die Beurteilung erfolgt somit noch nach dem alten Recht. Einschlägig sind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w:t>
      </w:r>
    </w:p>
    <w:p>
      <w:r>
        <w:rPr>
          <w:b/>
        </w:rPr>
        <w:t>E. 4.1</w:t>
      </w:r>
    </w:p>
    <w:p>
      <w:r>
        <w:t>Der Gesuchsteller benötigt aufgrund seiner Nationalität zur Einreise in die Schweiz nebst dem Pass ein Visum. Die Vorinstanz verweigerte die Erteilung eines solchen Visums mit der Begründung, die anstandslose und fristgerechte Wiederausreise erscheine nicht als hinreichend gesichert.</w:t>
      </w:r>
    </w:p>
    <w:p>
      <w:r>
        <w:rPr>
          <w:b/>
        </w:rPr>
        <w:t>E. 4.2</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4.3</w:t>
      </w:r>
    </w:p>
    <w:p>
      <w:r>
        <w:t>Die parlamentarische Versammlung hat am 17. Februar 2008 die Unabhängigkeit des Kosovo erklärt. Am 27. Februar 2008 anerkannte die Schweiz den Kosovo als selbständigen Staat. Wie die internationale Staatengemeinschaft mit dieser neuen Lage umgehen wird, ist allerdings noch weitgehend ungewiss. Auf die wirtschaftliche und soziale Lage, in der sich die Bevölkerung befindet, dürfte der Schritt in die politische Unabhängigkeit nach Einschätzung von Fachleuten jedenfalls kurz- und mittelfristig keine spürbaren Auswirkungen haben. Tatsache ist, dass es bisher trotz grosser internationaler Unterstützung nicht gelungen ist, eine Wachstumsdynamik im Kosovo einzuleiten; es herrscht wirtschaftliche Stagnation und die Arbeitslosigkeit bleibt hartnäckig hoch. So sind mehr als die Hälfte der Erwerbsfähigen ohne oder zumindest ohne regelmässiges Einkommen. Gemäss World Bank Brief lag der Armutsanteil der Bevölkerung im Kosovo im Jahr 2005 bei 37% (mit steigender Tendenz). Der Zuwanderungsdruck aus dieser Region ist dementsprechend hoch, was sich unter anderem in der schweizerischen Asylstatistik widerspiegelt. So stammten im Jahr 2007 9.2% der Asylsuchenden aus dem Gebiet von Serbien und Kosovo. Unter den Migrationswilligen gilt vor allem Westeuropa und damit auch die Schweiz als Wunschdestination. Der Trend zeigt sich erfahrungsgemäss dort besonders stark, wo durch die Anwesenheit von Verwandten oder Freunden bereits ein minimales soziales Beziehungsnetz im Ausland besteht. Im Falle der Schweiz führt dies angesichts der restriktiven Zulassungsregelung nicht selten zur Umgehung ausländerrechtlicher Bestimmungen.</w:t>
      </w:r>
    </w:p>
    <w:p>
      <w:r>
        <w:rPr>
          <w:b/>
        </w:rPr>
        <w:t>E. 5.1</w:t>
      </w:r>
    </w:p>
    <w:p>
      <w:r>
        <w:t>Bei der Risikoanalyse sind allerdings nicht nur solch allgemeine Umstände und Erfahrungen, sondern auch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5.2</w:t>
      </w:r>
    </w:p>
    <w:p>
      <w:r>
        <w:t>Beim Gesuchsteller handelt es sich um einen 23-jährigen, ledigen Mann. Über seine persönliche Situation ist nur gerade bekannt, dass er in Lubeniq (Peje) in familiärer Gemeinschaft mit seinen Eltern und zwei (1981 bzw. 2000 geborenen) Geschwistern lebt (Bestätigung der UNMIK vom 22. Dezember 2006). Aus dem blossen Umstand, dass er bei einer Ausreise seine Eltern und zwei Geschwister zurücklassen würde, kann er allerdings noch nichts Besonderes für sich ableiten. Irgendwelche Abhängigkeiten oder Verantwortlichkeiten zwischen dem Gesuchsteller und seinen Eltern bzw. seinen Geschwistern werden von den Beschwerdeführern nicht geltend gemacht und ergeben sich auch nicht aus den Akten. Schon rein altersmässig befindet sich der Gesuchsteller denn auch in einer Lebensphase, in der man sich in aller Regel von Eltern und Geschwistern löst und eine selbständige Lebensplanung in Angriff nimmt.</w:t>
      </w:r>
    </w:p>
    <w:p>
      <w:r>
        <w:rPr>
          <w:b/>
        </w:rPr>
        <w:t>E. 5.3</w:t>
      </w:r>
    </w:p>
    <w:p>
      <w:r>
        <w:t>Der Gesuchsteller geht keiner Erwerbstätigkeit nach; gemäss den bei den Gesuchsakten befindlichen Bestätigungen der Universität in Pristina von Ende 2006 war er dort im fraglichen Zeitpunkt im dritten Semester in der Abteilung Telekommunikation als Student der Fachrichtung Elektroingenieur und Computerwesen eingeschrieben. Ob er diese Ausbildung in der Zwischenzeit abgeschlossen hat, entzieht sich der Kenntnis des Bundesverwaltungsgerichts. Entsprechend lässt sich auch nicht abschätzen, welche beruflichen und wirtschaftlichen Perspektiven der Gesuchsteller in naher Zukunft hat. Vor dem Hintergrund der erwähnten schwierigen Verhältnisse vor Ort versteht sich jedenfalls von selbst, dass allein die Tatsache einer laufenden Berufsbildung nicht schon den Schluss auf intakte Zukunftsperspektiven und damit auf das Fehlen eines Migrationsdruckes zulässt.</w:t>
      </w:r>
    </w:p>
    <w:p>
      <w:r>
        <w:rPr>
          <w:b/>
        </w:rPr>
        <w:t>E. 5.4</w:t>
      </w:r>
    </w:p>
    <w:p>
      <w:r>
        <w:t>Vor dem aufgezeigten persönlichen und allgemeinen Hintergrund durfte die Vorinstanz demnach davon ausgehen, dass keine hinreichende Gewähr für eine fristgerechte und anstandslose Wiederausreise des Gesuchstellers nach einem Besuchsaufenthalt besteht. An dieser Beurteilung vermögen die abgegebenen Zusicherungen nichts zu ändern. Sicherlich ist an der Integrität der Beschwerdeführer in ihrer Eigenschaft als Gastgeber nicht zu zweifeln. Bei der Abwägung des Risikos einer nicht fristgerechten Wiederausreise ist aber nicht so sehr die Einstellung beziehungsweise Absicht der Gastgeber, sondern in erster Linie das mögliche Verhalten des Gastes selbst von Bedeutung. Nur Letzterer ist in der Lage, hinreichend Gewähr für eine fristgerechte und anstandslose Wiederausreise zu bieten. Als Gastgeber können die Beschwerdeführer zwar für gewisse finanzielle Risiken im Zusammenhang mit dem Besuchsaufenthalt, aus nahe liegenden Gründen aber nicht für ein bestimmtes Verhalten ihres Gastes garantieren.</w:t>
      </w:r>
    </w:p>
    <w:p>
      <w:r>
        <w:rPr>
          <w:b/>
        </w:rPr>
        <w:t>E. 5.5</w:t>
      </w:r>
    </w:p>
    <w:p>
      <w:r>
        <w:t>Die Beschwerdeführer beanstanden eine rechtsungleiche Behandlung durch die schweizerische Auslandsvertretung. Erweist sich die Verfügung aber - wie vorstehend ausgeführt - als rechtmässig, so kann es bei diesem Einwand nur um Geltendmachung eines Anspruchs auf Gleichbehandlung im Unrecht gehen. Ein solcher Anspruch besteht jedoch in der Regel nicht. Anders verhält es sich nur dann, wenn eine ständige gesetzwidrige Praxis besteht, die auch in Zukunft aufrecht erhalten werden soll und die nur im Falle des Betroffenen eine Ausnahme erfährt. Eine solche Konstellation wird von den Beschwerdeführern zwar sinngemäss behauptet, sie kann aber - mangels substantiierten und überprüfbaren Angaben zu den angeblichen Vergleichsfällen - nicht als erstellt betrachtet werden (vgl. zum Ganzen BGE 127 I E. 3a S. 3, Urteile des Bundesverwaltungsgerichts C-383/2006 vom 15. Mai 2008 E.6.2 S. 14 und C-901/2006 vom 12. März 2008 S. 9).</w:t>
      </w:r>
    </w:p>
    <w:p>
      <w:r>
        <w:rPr>
          <w:b/>
        </w:rPr>
        <w:t>E. 6</w:t>
      </w:r>
    </w:p>
    <w:p>
      <w:r>
        <w:t>Aus vorstehenden Erwägungen folgt, dass die angefochtene Verfügung im Lichte von Art. 49 VwVG nicht zu beanstanden ist. Die Beschwerde ist daher abzuweisen.</w:t>
      </w:r>
    </w:p>
    <w:p>
      <w:r>
        <w:rPr>
          <w:b/>
        </w:rPr>
        <w:t>E. 7</w:t>
      </w:r>
    </w:p>
    <w:p>
      <w:r>
        <w:t>Entsprechend dem Verfahrensausgang werden die unterliegenden Beschwerdeführer kostenpflichtig (Art. 63 Abs. 1 VwVG, Art. 1, 2 und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