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C-2759/2013 vom 12. Dezember 2013</w:t>
      </w:r>
    </w:p>
    <w:p>
      <w:r>
        <w:t>Bundesverwaltungsgericht, 2013-12-12, DE</w:t>
      </w:r>
    </w:p>
    <w:p>
      <w:r>
        <w:rPr>
          <w:b/>
        </w:rPr>
        <w:t xml:space="preserve">Quelle: </w:t>
      </w:r>
      <w:r>
        <w:t>https://mcp.opencaselaw.ch/entscheid/bvger_C-2759_2013</w:t>
      </w:r>
    </w:p>
    <w:p>
      <w:r>
        <w:t>FR: TAF C-2759/2013 du 12 décembre 2013</w:t>
      </w:r>
    </w:p>
    <w:p>
      <w:r>
        <w:t>IT: TAF C-2759/2013 del 12 dicembre 2013</w:t>
      </w:r>
    </w:p>
    <w:p>
      <w:pPr>
        <w:pStyle w:val="Heading2"/>
      </w:pPr>
      <w:r>
        <w:t>Regeste</w:t>
      </w:r>
    </w:p>
    <w:p>
      <w:r>
        <w:t>Zulassungen (inkl. Änderungen)</w:t>
      </w:r>
    </w:p>
    <w:p>
      <w:pPr>
        <w:pStyle w:val="Heading2"/>
      </w:pPr>
      <w:r>
        <w:t>Erwägungen</w:t>
      </w:r>
    </w:p>
    <w:p>
      <w:r>
        <w:rPr>
          <w:b/>
        </w:rPr>
        <w:t>E. 3</w:t>
      </w:r>
    </w:p>
    <w:p>
      <w:r>
        <w:t>Nachfolgend ist zu prüfen, ob die Vorinstanz den Anspruch der Beschwerdeführerin auf rechtliches Gehör - wie von ihr gerügt - verletzt hat.</w:t>
      </w:r>
    </w:p>
    <w:p>
      <w:r>
        <w:rPr>
          <w:b/>
        </w:rPr>
        <w:t>E. 3.1</w:t>
      </w:r>
    </w:p>
    <w:p>
      <w:r>
        <w:t>Die Parteien haben Anspruch auf rechtliches Gehör (Art. 29 Abs. 2 der Bundesverfassung der Schweizerischen Eidgenossenschaft vom 18. April 1999 [BV, SR 101]; vgl. auch Art. 26 ff. VwVG). Die Gehörsgewährung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w:t>
      </w:r>
    </w:p>
    <w:p>
      <w:r>
        <w:rPr>
          <w:b/>
        </w:rPr>
        <w:t>E. 3.1.1</w:t>
      </w:r>
    </w:p>
    <w:p>
      <w:r>
        <w:t>Die Behörde hört die Parteien an, bevor sie verfügt (Art. 30 Abs. 1 VwVG). Gemäss Art. 30 Abs. 2 VwVG braucht die Behörde die Parteien nicht anzuhören vor: Zwischenverfügungen, die nicht selbständig durch Beschwerde anfechtbar sind (lit. a), Verfügungen, die durch Einsprache anfechtbar sind (lit. b), Verfügungen, in denen die Behörde den Begehren der Parteien voll entspricht (lit. c), Vollstreckungsverfügungen (lit. d) oder anderen Verfügungen in einem erstinstanzlichen Verfahren, wenn Gefahr im Verzuge ist, den Parteien die Beschwerde gegen die Verfügung zusteht und ihnen keine andere Bestimmung des Bundesrechts einen Anspruch auf vorgängige Anhörung gewährleistet (lit. e).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sie im konkreten Fall nicht rechnen konnten (BGE 131 V 9 E. 5.4.1, 128 V 272 E. 5b/bb). Dagegen hat eine Partei grundsätzlich keinen Anspruch, zur rechtlichen Würdigung von (ihr bekannten) Tatsachen oder, ganz allgemein, zur juristischen Begründung des Entscheids angehört zu werden (BGE 126 I 19 E. 2c/aa, 125 V 368 E. 4a und 4b).</w:t>
      </w:r>
    </w:p>
    <w:p>
      <w:r>
        <w:rPr>
          <w:b/>
        </w:rPr>
        <w:t>E. 3.1.2</w:t>
      </w:r>
    </w:p>
    <w:p>
      <w:r>
        <w:t>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Der Mangel der ungenügenden Begründung eines Entscheides ist ferner heilbar, wenn die beschwerdeführende Partei Gelegenheit erhält, zu den in der Vernehmlassung der unteren Instanz enthaltenen Motiven in einer Beschwerdeergänzung Stellung zu nehmen und ihr dadurch kein Nachteil erwächst (BGE 107 Ia 1).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 3.2.1 Die Beschwerdeführerin machte geltend, sie sei vor Erlass der Verfügung vom 23. April 2013 nicht angehört worden, sondern habe erst mit deren Erhalt vom Umstand Kenntnis erhalten, dass die Vorinstanz ein erneutes Überprüfungsverfahren in die Wege geleitet habe. 3.2.2 Aus den Akten geht hervor, dass die Vorinstanz die Beschwerdeführerin vor Erlass der angefochtenen Verfügung nicht angehört hat. Die Beschwerdeführerin hatte somit keine Gelegenheit, Ausführungen zum Sachverhalt zu machen, Anträge zu stellen, diese zu begründen oder Beweismittel einzureichen. Der Umstand, dass die Vorinstanz der Beschwerdeführerin mit Erlass der Verfügung auch eine Frist ansetzte, innert welcher diese sich äussern durfte und aufgefordert wurde Unterlagen einzureichen, ändert nichts daran, dass die Vorinstanz zumindest in Bezug auf einige Punkte bereits Entscheidungen getroffen hatte, zu welchen sich die Beschwerdeführerin vorgängig nicht hatte äussern können. Mit diesem Vorgehen hat die Vorinstanz - wie die Beschwerdeführerin zu Recht gerügt hat - den Anspruch der Beschwerdeführerin auf Anhörung im Verfahren verletzt; ein Ausnahmefall gemäss Art. 30 Abs. 2 VwVG liegt nicht vor. Da die Beschwerdeführerin explizit die Aufhebung der Verfügung beantragt, ist davon auszugehen, dass sie ein grösseres Interesse an einem korrekt geführten als an einem beschleunigten Verfahren hat, zumal sie bei Durchführung eines korrekten Verfahrens - je nach Ausgang - unter Umständen darauf verzichten kann, die von der Vorinstanz bereits geforderten Massnahmen vorzunehmen. Die angefochtene Verfügung ist daher in Gutheissung der Beschwerde wegen schwerwiegender Verletzung des rechtlichen Gehörs aufzuheben und die Sache ist an die Vorinstanz zurückzuweisen, damit diese unter Wahrung der Parteirechte der Beschwerdeführerin über das weitere Vorgehen neu befinde.</w:t>
      </w:r>
    </w:p>
    <w:p>
      <w:r>
        <w:rPr>
          <w:b/>
        </w:rPr>
        <w:t>E. 4</w:t>
      </w:r>
    </w:p>
    <w:p>
      <w:r>
        <w:t>Zu befinden bleibt noch über die Verfahrenskosten und eine allfällige Parteientschädigung.</w:t>
      </w:r>
    </w:p>
    <w:p>
      <w:r>
        <w:rPr>
          <w:b/>
        </w:rPr>
        <w:t>E. 4.1</w:t>
      </w:r>
    </w:p>
    <w:p>
      <w:r>
        <w:t>Die Verfahrenskosten werden in der Regel der unterliegenden Partei auferlegt (Art. 63 Abs. 1 VwVG). Der unterliegenden Vorinstanz sind gemäss Art. 63 Abs. 2 VwVG keine Kosten aufzuerlegen. Der geleistete Kostenvorschuss in der Höhe von Fr. 3'500. ist der obsiegenden Beschwerdeführerin nach Eintritt der Rechtskraft des vorliegenden Entscheids auf ein von ihr bekannt zu gebendes Konto zurückzuerstatten.</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obsiegende Beschwerdeführerin war anwaltlich vertreten und hat keine Honorarnote eingereicht, weshalb die Entschädigung gestützt auf die Akten auf Fr. 5'000. festzusetzen ist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