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C-2743/2009 vom 25. September 2009</w:t>
      </w:r>
    </w:p>
    <w:p>
      <w:r>
        <w:t>Bundesverwaltungsgericht, 2009-09-25, DE</w:t>
      </w:r>
    </w:p>
    <w:p>
      <w:r>
        <w:rPr>
          <w:b/>
        </w:rPr>
        <w:t xml:space="preserve">Quelle: </w:t>
      </w:r>
      <w:r>
        <w:t>https://mcp.opencaselaw.ch/entscheid/bvger_C-2743_2009</w:t>
      </w:r>
    </w:p>
    <w:p>
      <w:r>
        <w:t>FR: TAF C-2743/2009 du 25 septembre 2009</w:t>
      </w:r>
    </w:p>
    <w:p>
      <w:r>
        <w:t>IT: TAF C-2743/2009 del 25 settembre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der Gesuchsteller als sri-lankischer Staatsangehöriger der Visumspflicht.</w:t>
      </w:r>
    </w:p>
    <w:p>
      <w:r>
        <w:rPr>
          <w:b/>
        </w:rPr>
        <w:t>E. 6.1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6.2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Das Pro-Kopf-Einkommen betrug im Jahre 2008 in Sri Lanka 2'014 US-Dollar, das Bruttoinlandprodukt (BIP) 40,7 Mrd. US-Dollar. Wurde 2008 noch ein reales Wirtschaftswachstum von 6% erreicht, lassen die Werte des ersten Quartals 2009 (+ 1,5%) für das Gesamtjahr eine geringere Rate erwarten. Ein Problem für die weitere wirtschaftliche Entwicklung ist zunehmend die Inflation, die 2008 für srilankische Verhältnisse Rekordzahlen erreichte. Ausserdem weist die wirtschaftliche Entwicklung Sri Lankas grosse regionale Unterschiede auf. Wirtschaftliches Zentrum ist die Region rund um Colombo, die fast die Hälfte der gesamten Wirtschaftsleistung erbringt. Zur Mithilfe beim wirtschaftlichen Wiederaufbau des durch den Bürgerkrieg in seiner Entwicklung zurückgeworfenen Nordens hat die Regierung Sri Lankas alle Sektoren aufgerufen und erhofft sich ebenso internationale Unterstützung (Quelle: Deutsches Auswärtiges Amt, &lt;http://www.auswaertiges-amt.de&gt;, Länder, Reisen und Sicherheit &gt; Sri Lanka &gt; Wirtschaft, Stand: Juli 2009). Darüber hinaus verschlechterte sich die Sicherheitslage im ganzen Land seit 2006 wieder, nachdem erneut Kämpfe zwischen dem Militär und der "Liberation Tigers of Tamil Eelam" (LTTE) ausgebrochen waren. Davon besonders betroffen waren der Osten und Norden Sri Lankas; Anschläge - auch auf zivile Ziele - kamen jedoch im ganzen Land vor. Zudem hatte die Regierung im Januar 2008 das Waffenstillstandsabkommen mit der LTTE offiziell per 16. Januar 2008 gekündigt. Seither hatten die Gefechte im Norden des Landes zugenommen, wobei jedoch auch die Hauptstadt Colombo mehrfach von Anschlägen betroffen war (Quellen: Deutsches Auswärtiges Amt, a.a.O, Länder, Reisen und Sicherheit &gt; Sri Lanka &gt; Reise- und Sicherheitshinweis/Teilreisewarnung, Stand: 23. März 2009, sowie Eidgenössisches Departement für auswärtige Angelegenheiten [EDA], &lt;http://www.eda.admin.ch&gt;, Reisehinweise &gt; Reiseziele &gt; Sri Lanka, Stand: 9. März 2009; vgl. auch Urteile des Bundesverwaltungsgerichts C-5841/2007 vom 1. Juli 2009 E. 7.3, C-1739/2008 vom 3. April 2009 E. 7.2 sowie BVGE 2008/2 E. 7.2 bis 7.5). In den vergangenen Wochen und Monaten war die sri-lankische Armee in die letzten von den tamilischen Rebellen kontrollierten Gebiete vorgerückt und hatte die LTTE weiter zurückgedrängt. Nach einem über zwanzigjährigen bewaffneten Konflikt legten die LTTE am 17. Mai 2009 die Waffen nieder. Die Kämpfe zwischen Armee und Aufständischen in Sri Lanka haben viele Opfer unter der Zivilbevölkerung gefordert. Mehrere hunderttausend Menschen wurden aus ihren Wohnorten vertrieben. Die Lage in den ehemaligen Konfliktzonen im Norden, Osten und im Yala Nationalpark ist weiterhin unübersichtlich; das politische Klima bleibt gespannt. Auch nachdem die Regierung Sri Lankas die Kämpfe mit den Rebellen der LTTE für beendet erklärt hat, kann eine Fortsetzung des Guerilla-Krieges durch einzelne LTTE-Gruppen mit unter Umständen landesweiten Auswirkungen nicht ausgeschlossen werden (Quellen: Deutsches Auswärtiges Amt, a.a.O, Länder, Reisen und Sicherheit &gt; Sri Lanka &gt; Reise- und Sicherheitshinweis/Teilreisewarnung, Stand: 26. Mai 2009, sowie EDA, a.a.O., Reisehinweise &gt; Reiseziele &gt; Sri Lanka, Stand: 22. Mai 2009, unverändert gültig: 3. September 2009).</w:t>
      </w:r>
    </w:p>
    <w:p>
      <w:r>
        <w:rPr>
          <w:b/>
        </w:rPr>
        <w:t>E. 6.4</w:t>
      </w:r>
    </w:p>
    <w:p>
      <w:r>
        <w:t>Die Tendenz zur Auswanderung zeigt sich erfahrungsgemäss besonders stark bei jüngeren und ungebundenen Personen, aber auch sozial eingebundene Menschen reiferen Alters fassen oft diesen Weg ins Auge.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Sri Lanka im Jahre 2008 mit 1'262 Gesuchen die fünftgrösste Gruppe von Asylsuchenden stellte, wobei sich die Anzahl der Gesuche wegen der Eskalation des bewaffneten Konfliktes im Vergleich zum Vorjahr fast verdoppelt hat. Dieser Trend setzte sich in den ersten sechs Monaten dieses Jahres fort: In dieser Zeitspanne reichten bereits 860 Personen aus Sri Lanka in der Schweiz ein Asylgesuch ein, was einer Zunahme von 83% im Vergleich zum Vorjahr entspricht (vgl. kommentierte BFM-Asylstatistik, 2. Quartal 2009, vom 9. Juli 2009, S. 2 und 7, im Internet unter: &lt;http://www.bfm.admin.ch&gt;, Themen &gt; Statistiken).</w:t>
      </w:r>
    </w:p>
    <w:p>
      <w:r>
        <w:rPr>
          <w:b/>
        </w:rPr>
        <w:t>E. 7.1</w:t>
      </w:r>
    </w:p>
    <w:p>
      <w:r>
        <w:t>Bei der Risikoanalyse sind allerdings nicht nur solch allgemeine Umstände und Erfahrungen, sondern auch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7.2</w:t>
      </w:r>
    </w:p>
    <w:p>
      <w:r>
        <w:t>Beim Gesuchsteller handelt es sich um einen jungen, unverheirateten und kinderlosen Mann, welcher aus dem Süden Sri Lankas stammt und dort die Universität besucht. Er dürfte kaum in wirtschaftlich sehr günstigen Verhältnissen leben, die ihn verlässlich von einer Emigration abzuhalten vermöchten, zumal sämtliche mit dem Besuchsaufenthalt verbundenen Kosten nicht vom Gesuchsteller selbst, sondern vom Gastgeber übernommen würden (vgl. Ziff. 35 des persönlichen Einreisegesuches). Der Beschwerdeführer macht in seiner Rechtsmitteleingabe vom 28. April 2009 zudem geltend, der Gesuchsteller lebe bei seinen Eltern, welche auch das Studium finanzieren würden. Es liegen somit offensichtlich keine besonderen beruflichen Verpflichtungen des Gesuchstellers in Sri Lanka vor, vielmehr ist er finanziell vollständig von seinen Eltern abhängig. Gemäss Ausführungen des Beschwerdeführers auf Rechtsmittelebene unterstütze der Gesuchsteller in der Freizeit seine Eltern und engagiere sich in der buddhistischen Gemeinde, ausserdem, unterrichte er schon seit mehreren Jahren an der Sonntagsschule. Weitere familiäre oder gesellschaftliche Verpflichtungen werden nicht geltend gemacht. Den Akten lassen sich demnach auch keine Hinweise auf besondere familiäre oder gesellschaftliche Verpflichtungen des Gesuchstellers in Sri Lanka entnehmen, welche ihn ernsthaft von einer Emigration abhalten könnten. Zudem ist die Schwester des Gesuchstellers in die Schweiz ausgewandert und hat sich mit ihrem Ehemann im Kanton Aargau niedergelassen. Es kann demnach auf einen konkreten Migrationswillen im nächsten Umfeld des Gesuchstellers geschlossen werden. Zudem verfügt er über ein bestehendes verwandtschaftliches soziales Beziehungsnetz in der Schweiz, was einen allenfalls bestehenden Auswanderungswillen noch akzentuieren könnte. Vor diesem Hintergrund müssen die Beteuerungen auf Beschwerdeebene, wonach genügend Garantien für eine fristgerechte Wiederausreise vorhanden seien, als nicht ausschlaggebend bezeichnet werden.</w:t>
      </w:r>
    </w:p>
    <w:p>
      <w:r>
        <w:rPr>
          <w:b/>
        </w:rPr>
        <w:t>E. 8</w:t>
      </w:r>
    </w:p>
    <w:p>
      <w:r>
        <w:t>Gestützt auf die vorstehenden Erwägungen durfte die Vorinstanz zu Recht davon ausgehen, die Wiederausreise des Gesuchstellers sei im Sinne der massgeblichen Bestimmungen nicht gesichert. An der Richtigkeit dieser Einschätzung ändert auch die Tatsache nichts, dass der Beschwerdeführer die rechtzeitige Rückkehr des eingeladenen Schwagers zugesichert hat, denn eine solche Garantie ist trotz bester und ehrlicher Absichten nicht möglich bzw. rechtlich nicht durchsetzbar. Gastgeber können zwar für gewisse finanzielle Risiken im Zusammenhang mit dem Besuchsaufenthalt, nicht aber für ein bestimmtes Verhalten ihrer Gäste garantieren (vgl. anstelle vieler: Urteile des Bundes-verwaltungsgerichts C-204/2008 vom 5. März 2009 E. 8.4 und C-2618/2008 vom 26. Februar 2009 E. 11, mit weiteren Hinweisen).</w:t>
      </w:r>
    </w:p>
    <w:p>
      <w:r>
        <w:rPr>
          <w:b/>
        </w:rPr>
        <w:t>E. 9</w:t>
      </w:r>
    </w:p>
    <w:p>
      <w:r>
        <w:t>Aus den genannten Gründen ist nicht zu beanstanden, dass die Vorinstanz das öffentliche Interesse sowie die Beachtung der geltenden Bestimmungen entsprechend gewichtete und dem Gesuchsteller die Einreise verweigerte. Die angefochtene Verfügung ist somit im Ergebnis rechtmässig (Art. 49 VwVG). Die Beschwerde ist demnach abzuweisen.</w:t>
      </w:r>
    </w:p>
    <w:p>
      <w:r>
        <w:rPr>
          <w:b/>
        </w:rPr>
        <w:t>E. 10</w:t>
      </w:r>
    </w:p>
    <w:p>
      <w:r>
        <w:t>Entsprechend dem Ausgang des Verfahrens sind dem Beschwerdeführer die Kosten des Verfahrens aufzuerlegen (Art. 63 Abs. 1 VwVG). Die Verfahrenskosten sind auf Fr. 600.--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