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C-273/2015 vom 31. August 2015</w:t>
      </w:r>
    </w:p>
    <w:p>
      <w:r>
        <w:t>Bundesverwaltungsgericht, 2015-08-31, FR</w:t>
      </w:r>
    </w:p>
    <w:p>
      <w:r>
        <w:rPr>
          <w:b/>
        </w:rPr>
        <w:t xml:space="preserve">Quelle: </w:t>
      </w:r>
      <w:r>
        <w:t>https://mcp.opencaselaw.ch/entscheid/bvger_C-273_2015</w:t>
      </w:r>
    </w:p>
    <w:p>
      <w:r>
        <w:t>FR: TAF C-273/2015 du 31 août 2015</w:t>
      </w:r>
    </w:p>
    <w:p>
      <w:r>
        <w:t>IT: TAF C-273/2015 del 31 agosto 2015</w:t>
      </w:r>
    </w:p>
    <w:p>
      <w:pPr>
        <w:pStyle w:val="Heading2"/>
      </w:pPr>
      <w:r>
        <w:t>Regeste</w:t>
      </w:r>
    </w:p>
    <w:p>
      <w:r>
        <w:t>Annulation de la naturalisation facilitée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 3.3 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lesATF 130 II 482 consid. 2 et 128 II 97 consid. 3a). 4.1 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4.3 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évènements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 4.4 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au recourant le 1er février 2010 a été annulée par l'autorité inférieure en date du 15 décembre 2014, soit avant l'échéance du délai péremptoire prévu par la disposition précitée, avec l'assentiment de l'autorité cantonale compétente. En outre, il appert que la décision d'annulation de la naturalisation facilitée respecte également le délai relatif de deux ans, dès lors qu'un nouveau délai de deux ans commence à courir après tout acte d'instruction communiqué à la personne naturalisée (art. 41 al.1bis LN). 6.1 Sur le plan matériel, le Tribunal estime, comme l'a également relevé l'autorité inférieure dans la décision querellée, que la naturalisation facilitée a été obtenue par le recourant sur la base d'une déclaration mensongère et d'une dissimulation de faits essentiels, en regard desquelles les conditions du retrait de ladite naturalisation prévues par l'art. 41 al. 1 LN paraissent indiscutablement réunies. A cet égard, il convient de souligner que le principe de la présomption de fait sur laquelle l'autorité peut se fonder pour établir que le couple n'avait plus, au moment de la signature de la déclaration commune et, à plus forte raison, au moment de l'octroi de la naturalisation, la volonté de maintenir une communauté conjugale stable au sens de l'art. 27 LN (cf. consid. 5.2.1 supra) revêt un caractère subsidiaire lorsqu'il existe, ainsi que cela est le cas en l'espèce, des motifs permettant à eux seuls de constater que la personne mise au bénéfice de la naturalisation facilitée a effectivement menti quant à la persistance d'une telle communauté matrimoniale à ces deux stades de la procédure de naturalisation (cf. notamment arrêt du Tribunal fédéral 1C_509/2008 du 16 décembre 2008 consid. 2.3). 6.2 Dans la présente cause, les informations recueillies par l'autorité intimée et les propres déclarations des conjoints révèlent que ceux-ci se sont séparés une première fois le 18 décembre 2003 avant de reprendre la vie commune le 5 décembre 2005 et qu'ils ont vécu à des adresses différentes dès la fin de l'année 2006. Même en admettant que l'intéressé et son ex-épouse aient réellement voulu fonder une communauté conjugale, leur union ne pouvait de toute évidence plus être qualifiée d'effective et stable au moment de la signature de leur déclara­tion commune du 8 janvier 2010, ni, a fortiori, lors de la décision de natu­ralisation prononcée au mois de février suivant. En effet, il est établi au vu des pièces du dossier que le recourant a signé un bail à loyer (uniquement à son nom) le 15 septembre 2006 afin de prendre à U._______ un domicile séparé, alors que son épouse continuait d'habiter à V._______(cf. copies du bail à loyer et de l'avis de fixation du loyer lors de la conclusion d'un nouveau bail du 15 septembre 2006). Il est aussi à noter que, lors du dépôt le 15 septembre 2006 de la requête de garantie de loyer à la Banque cantonale de Genève, l'intéressé a indiqué comme adresse de correspondance pour ladite banque l'adresse du domicile aux W._______ dans lequel il avait séjourné durant sa séparation d'avec son épouse entre 2003 et 2005, et non celle de son épouse à V._______(cf. copie du formulaire de demande d'ouverture garantie de loyer du 15 septembre 2006). A cela s'ajoutent encore les déclarations de l'ex-épouse qui indiquent que les conjoints vivaient séparés depuis les mois d'octobre-novembre 2006 (cf. procès-verbal du 16 juillet 2014, ch. 1.8, 3.6, 5.1, 5.4 et 9), fait que le recourant n'a pas contesté (cf. mémoire de recours, ch. 40, p. 21). Certes, l'intéressé a allégué qu'il "demeurait majoritairement au domicile conjugal où il avait laissé ses affaires personnelles" (cf. ibid, ch. 42, p. 21), mais il n'en demeure pas moins que le recourant s'est constitué un domicile séparé de son épouse depuis 2006. Or, il sied de rappeler que la notion de communauté conjugale dont il est question dans la LN, en particulier à l'art. 27 al. 1 let. c et à l'art. 28 al. 1 let. a LN, présuppose non seulement l'existence formelle d'un mariage (à savoir d'une union conjugale au sens de l'art. 159 al. 1 du CC), mais implique, de surcroît, une communauté de fait entre les époux, respecti­vement une communauté de vie effective, intacte et stable, fondée sur leur volonté réciproque de maintenir cette union (cf. notamment ATF 135 précité, ibid., 130 II 169 consid. 2.3.1 et 128 II 197 consid. 3a). L'exis­tence d'une communauté conjugale effective et stable ne saurait être re­tenue notamment quand, au moment du dépôt de la demande ou du pro­noncé de la décision sur la naturalisation, une procédure en divorce a été engagée ou lorsque les époux vivent séparés de fait ou judiciairement (cf. notamment ATF 128 précité, ibid., et 121 II 49 consid. 2b, ainsi que l'arrêt du Tribunal fédéral 5A.26/2003 du 17 février 2004 consid. 2.2; Roland Schärer, Premières expériences faites depuis l'entrée en vigueur de la dernière révision de la LN, REC 61/1993 p. 360 et, du même auteur, La nouvelle révision de la Loi sur la nationalité, in: REC 59/1991, p. 165). Par conséquent, au moment du dépôt de la requête de naturalisation effectué au mois d'août 2008, l'intéressé et Y._______ ne formaient déjà plus une véritable communauté conjugale. Les indications figurant dans le rapport d'enquête établi par le Service cantonal des naturalisations le 6 novembre 2008 ne sont, à ce propos, d'aucun secours pour le recourant quant à la persistance d'une véritable communauté conju­gale entre lui et la prénommée. Si le ch. 2 de ce rapport précise effectivement que les conjoints ont vécu ensemble plus de trois ans et ont repris la vie commune depuis au moins trois ans, il se base sur les renseignements fournis principalement par les intéressés eux-mêmes, reçus dans les bureaux dudit service, qui avaient omis d'indiquer le domicile de l'intéressé à U._______. 6.3 Cela étant, il est exceptionnellement admis qu'une telle commu­nauté subsiste au sens des art. 27 et 28 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précité, ibid., ainsi que les arrêts du Tribunal fédéral 1C_439/2008 du 6 novembre 2008 consid. 4, 5A.22/2004 du 30 août 2004 consid. 3.1 et 5A.26/2003 précité, consid. 3). Une telle hypothèse n'est cependant pas réalisée ici. X._______ a signé un contrat de bail à son seul nom au mois de septembre 2006 et il a séjourné régulièrement dans cet appartement - de manière officieuse - dès le mois d'octobre-novembre 2006 jusqu'au dépôt de la requête commune de divorce faite le 13 juin 2013 (cf. contrat de bail du 15 septembre 2006, procès-verbal du 16 juillet 2014, ch. 3.6, 5.1, 5.4 et 9 et requête commune en divorce du 13 juin 2013). Selon les allégations de Y._______ (cf. procès-verbal du 16 juillet 2014, ch. 1.8, 3.1, 5.1 et 5.4), les problèmes conjugaux dans son couple avaient déjà débuté au mois d'août 2003, soit à peine cinq mois après son mariage, et avaient entraîné une première séparation du 18 décembre 2003 au 5 décembre 2005, date à laquelle ils avaient repris la vie commune avant que l'intéressé ne prenne à nouveau un domicile séparé en 2006; la prénommée a indiqué que leur couple avait une "meilleure entente en étant séparé dans deux domiciles différents" tout en relevant qu'elle considérait leur union conjugale comme étant "stable même si nous étions séparés" et qu'au moment de la naturalisation de l'intéressé, les projets de son couple étaient de continuer cette relation comme depuis 2006 "avec nos deux domiciles séparés". Le recourant n'a d'ailleurs pas nié avoir pris un domicile séparé depuis 2006, mais il a allégué que cette démarche avait été motivée par "les difficultés à cohabiter rencontrés par les époux au début de leur mariage", qu'il "fallait s'adapter et trouver les ingrédients nécessaires à un fonctionnement harmonieux de leur union compte tenu de leurs caractéristiques personnelles et culturelles respectives" et que la prise de logement séparé avait permis de préserver et stabiliser leur communauté conjugale (cf. mémoire de recours, ch. 40-41, p. 21). Il ressort donc de ce qui précède que la prise de domicile séparés par les intéressés relevait de la pure convenance personnelle. Les explications fournies par le recourant dans sa déposition écrite du 19 février 2015 concernant les difficultés survenues dans sa vie de couple avec Y._______, à savoir des questions d'ordre financier et des problèmes de gestion du budget de ménage qui généraient des disputes et qui l'avaient poussé à louer un autre appartement pour y séjourner "lorsque la situation se tendait au sein de notre couple", ne font que confirmer les propos de son ex-épouse. Dans ces conditions, la constitution par le recourant d'un domicile séparé ne repose donc pas sur des circonstances extraordinaires indépendantes de la volonté du couple qui permettraient exceptionnelle­ment d'admettre l'existence d'une communauté conjugale encore intacte au sens de la jurisprudence (cf. notamment ATF 121 précité, ibid.). Au vu du "mode de fonctionnement" du couple décrit par les intéressés (cf. procès-verbal du 16 juillet 2014, mémoire de recours et déposition écrite du 19 février 2015), le Tribunal tient à relever que la persistance durant presque huit ans et demi de deux domiciles différents (séparation du 18 décembre 2003 au 5 décembre 2005 et séparation officieuse dès les mois d'octobre-novembre 2006 jusqu'à la sé­paration officielle des conjoints en avril 2013) ôte toute crédibilité quant au maintien d'une véritable communauté de fait entre les conjoints au sens de l'art. 27 LN au vu des critères retenus par la jurisprudence (cf. consid. 6.2 supra). En regard des éléments qui précèdent, il y a tout lieu au contraire de considérer que le recourant et Y._______ avaient adopté un mode de vie qui s'apparente à celui de personnes séparées de fait, et non à des conjoints formant une communauté de vie au sens traditionnel du terme (cf., en ce sens, l'arrêt du Tribunal fédéral 1C_518/2009 du 2 février 2010 consid. 3.2). 6.4 Il importe par ailleurs de souligner que la cessation de la cohabita­tion des époux intervenue dès l'année 2006 a été dissimulée aux autori­tés. Par déclaration commune signée le 8 janvier 2010, X._______ et Y._______ ont en effet certifié à l'attention de ces dernières qu'ils vivaient à la même adresse, de manière non séparée, sous la forme d'une communauté conjugale effective et stable, et qu'ils n'avaient point l'intention de se séparer. Bien qu'à cette occasion, ils aient pris connais­sance du fait que la naturalisation facilitée n'était pas envisageable no­tamment lorsque les époux ne partageaient plus de facto une commu­nauté conjugale et que, si cette situation était dissimulée aux autorités, la naturalisation facilitée octroyée au conjoint étranger pouvait, dans les cinq ans, être annulée en application de l'art. 41 LN, les prénommés n'ont toutefois pas informé l'autorité intimée du fait qu'ils vivaient à des adresses différen­tes, et, donc, avisé cette autorité de leur séparation, effective depuis plus de trois ans au moment de la signa­ture de la déclaration de vie commune. Or, lorsqu'une partie sait que les conditions de la naturalisation facilitée doivent être remplies au moment où la décision est rendue et déclare vivre un mariage stable, elle doit spontanément orienter l'autorité sur un changement ultérieur des circons­tances dont elle sait, ou doit savoir, qu'il s'oppose à une naturalisation fa­cilitée (cf. notamment ATF 132 II 113 consid. 3 et arrêt du Tribunal fédéral 1C_578/2008 du 11 novembre 2009 consid. 3.1), ce qui était précisément le cas en l'espèce. En cachant ces éléments à l'autorité précitée, l'inté­ressé et son ex-épouse ont indubitablement cherché à sauvegarder l'appa­rence d'un mariage qui n'était (plus) que formel. Ces derniers ont ainsi fait preuve d'un silence inexcusable et, par voie de conséquence, ont permis au recourant d'obtenir la nationalité suisse de manière trompeuse. Aussi le SEM et le Tribunal peuvent-ils considérer, sans abuser de leur pouvoir d'appréciation, que la volonté de X._______ et de Y._______ de maintenir une relation stable n'existait manifestement plus lors de la déclaration de vie commune et que celle-ci avait été signée sur la base de déclarations mensongères. Dans ce contexte, il n'est pas sans importance en outre de signaler que, lors des procédures de renouvellement de son autorisation de séjour en 2007 et 2008 et d'obtention de son autorisation d'établissement en 2008, l'intéressé a toujours indiqué, dans les formulaires de demande remplis à cet effet, l'adresse de son épouse à V._______, cachant ainsi à l'autorité genevoise de police des étrangers la prise d'un domicile séparé à U._______. 6.5 Compte tenu des motifs exposés ci-dessus, il n'est pas né­cessaire de se fonder sur une présomption pour établir que le couple n'avait plus la volonté de maintenir une communauté conjugale stable au sens de l'art. 27 LN, lors de la signature de la déclaration commune et, a fortiori, lors de l'octroi de la naturalisation (cf. notamment arrêt du Tribunal fédéral 1C_509/2008 précité, ibid.). Partant, la constitution, à compter du mois de septembre 2006 déjà, par X._______ d'un domicile séparé qui, en l'absence de toute circonstance extraordinaire permettant exceptionnellement d'admettre l'existence d'une communauté conjugale encore intacte au sens de la jurisprudence (cf. consid. 7.1.2 supra), consacrait la séparation du couple et le silence gardé sciemment par le recourant et Y._______, tout au long de la procédure de naturalisation, sur la cessation de leur vie matrimoniale commune suffisent à eux seuls à conclure que l'intéressé a manifestement obtenu la naturalisation facilitée sur la base de déclara­tions mensongères et d'une dissimulation de faits essentiels. Or, la natu­ralisation facilitée n'aurait pas été accordée au recourant si les autori­tés avaient eu connaissance de ces éléments.</w:t>
      </w:r>
    </w:p>
    <w:p>
      <w:r>
        <w:rPr>
          <w:b/>
        </w:rPr>
        <w:t>E. 7</w:t>
      </w:r>
    </w:p>
    <w:p>
      <w:r>
        <w:t>Sauf décision expresse, l'annulation fait également perdre la nationalité suisse aux membres de la famille qui l'ont acquise en vertu de la décision annulée (cf. art. 41 al. 3 LN). En l'espèce, il ressort des informations à disposition du Tribunal de céans qu'aucun enfant n'est issu du mariage que le recourant a contracté le 31 octobre 2014 avec une ressortissante sénégalaise (cf. let. O), de sorte que ladite disposition légale ne trouve pas application in casu.</w:t>
      </w:r>
    </w:p>
    <w:p>
      <w:r>
        <w:rPr>
          <w:b/>
        </w:rPr>
        <w:t>E. 8</w:t>
      </w:r>
    </w:p>
    <w:p>
      <w:r>
        <w:t>Dans son mémoire de recours, X._______ a requis son audition personnelle. En l'occurrence, le Tribunal estime que les faits de la cause sont suffisamment établis par les pièces figurant au dossier, de sorte qu'il ne s'avère pas indispensable de donner suite à ladite requête. Le Tribunal ne voit pas en effet ce que des explications orales supplémentaires de la part de l'intéressé apporteraient dans la présente affaire, au vu des développements antérieurs. A noter que l'épouse du prénommé a été entendue par le Service des naturalisations du canton de Genève sur les circonstances de son mariage avec l'intéressé et sur les motifs de leur séparation. De plus, il appert que le recourant a pu se déterminer sur le contenu de l'audition de son épouse et a aussi pu présenter ses propres explications dans le mémoire de recours qu'il a déposé le 14 janvier 2015, ainsi que dans sa déposition écrite du 19 février 2015. Au demeurant, le doit d'être entendu, dont la garantie est expressément consacrée à l'art. 29 al. 2 de la Constitution fédérale de la Confédération suisse du 18 avril 1999 (Cst.; RS 101), ne confère notamment pas aux parties le droit de s'exprimer verbalement devant l'autorité appelée à prendre une décision (cf. notamment arrêt du Tribunal fédéral 6B_145/2009 du 28 mai 2009 consid. 3.2). La partie ne peut ainsi exiger d'être entendue oralement en procédure administrative (cf. Moser et al., op. cit., ad ch. 3.86).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w:t>
      </w:r>
    </w:p>
    <w:p>
      <w:r>
        <w:rPr>
          <w:b/>
        </w:rPr>
        <w:t>E. 9</w:t>
      </w:r>
    </w:p>
    <w:p>
      <w:r>
        <w:t>Il apparaît au vu de ce qui précède que, par sa décision du 15 décembre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