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C-2739/2006 vom 9. März 2007</w:t>
      </w:r>
    </w:p>
    <w:p>
      <w:r>
        <w:t>Bundesverwaltungsgericht, 2007-03-09, FR</w:t>
      </w:r>
    </w:p>
    <w:p>
      <w:r>
        <w:rPr>
          <w:b/>
        </w:rPr>
        <w:t xml:space="preserve">Quelle: </w:t>
      </w:r>
      <w:r>
        <w:t>https://mcp.opencaselaw.ch/entscheid/bvger_C-2739_2006</w:t>
      </w:r>
    </w:p>
    <w:p>
      <w:r>
        <w:t>FR: TAF C-2739/2006 du 9 mars 2007</w:t>
      </w:r>
    </w:p>
    <w:p>
      <w:r>
        <w:t>IT: TAF C-2739/2006 del 9 marzo 2007</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conformément à l'art. 69 al. 1 let. b de la loi fédérale sur du 19 juin 1959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La recourante, partie à la procédure devant l'autorité inférieure, est spécialement atteinte par la décision attaquée et a un intérêt digne de protection à son annulation ou à sa modification (art. 48 PA). Ayant agi dans le délai et selon les formes prévues par les art. 50 et 52 al. 1 PA, elle est légitimée à recourir.</w:t>
      </w:r>
    </w:p>
    <w:p>
      <w:r>
        <w:rPr>
          <w:b/>
        </w:rPr>
        <w:t>E. 2.1</w:t>
      </w:r>
    </w:p>
    <w:p>
      <w:r>
        <w:t>Avec l'entrée en vigueur le 1er juin 2002 de l'Accord entre la Suisse et la Communauté européenne et ses Etats membres sur la libre circulation des personnes du 21 juin 1999 (ALCP, RS 0.142.112.681), de son Annexe II qui règle la coordination des systèmes de sécurité sociale et du Règlement (CEE) n° 1408/71 du Conseil du 14 juin 1971 relatif à l'application des régimes de sécurité sociale aux travailleurs salariés, aux travailleurs non salariés et aux membres de leur famille qui se déplacent à l'intérieur de la Communauté (RS 0.831.109.268.1), lequel s'applique à toutes les rentes dont le droit prend naissance au 1er juin 2002 et ultérieurement, se substituant à toute convention de sécurité sociale liant deux ou plusieurs Etats (art. 6 du Règlement), et du Règlement (CEE) n° 574/72 du Conseil du 21 mars 1972 relatif à l'application du Règlement n° 1408/71 (RS 0.831.109.268.11), les ressortissants des Etats membres de la Communauté européenne et les ressortissants suisses bénéficient de l'égalité de traitement (art. 3 du Règlement).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l'attention des caisses de compensations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de la Loi fédérale du 6 octobre 2000 sur la partie générale du droit des assurances sociales (LPGA, RS 830.1), les dispositions de ladite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à moins que la présente loi ne déroge expressément à la LPGA.</w:t>
      </w:r>
    </w:p>
    <w:p>
      <w:r>
        <w:rPr>
          <w:b/>
        </w:rPr>
        <w:t>E. 3.2</w:t>
      </w:r>
    </w:p>
    <w:p>
      <w:r>
        <w:t>Vu la novelle du 21 mars 2003 entrée en vigueur le 1er janvier 2004, il convient de préciser que l'examen du droit à des prestations selon la LAI est régi par la teneur de cette loi en vigueur jusqu'au 31 décembre 2003 pour la période courant jusqu'à cette date et par la teneur de la LAI au 1er janvier 2004 pour la période ultérieure, eu égard au principe selon lequel les règles applicables sont celles en vigueur au moment où les faits juridiquement déterminants se sont produits (ATF 130 V 445 et les références).</w:t>
      </w:r>
    </w:p>
    <w:p>
      <w:r>
        <w:rPr>
          <w:b/>
        </w:rPr>
        <w:t>E. 3.3</w:t>
      </w:r>
    </w:p>
    <w:p>
      <w:r>
        <w:t>La recourante a présenté sa demande de rente le 29 juin 2004. En dérogation à l'art. 24 LPGA, l'art. 48 al. 2 LAI prévoit que si l'assuré présente sa demande de rente plus de douze mois après la naissance du droit, les prestations ne sont allouées que pour les douze mois précédant le dépôt de la demande. Concrètement l'Autorité de céans peut se limiter à examiner si la recourante avait droit à une rente le 29 juin 2003 (12 mois avant le dépôt de la demande) ou si le droit à une rente était né entre cette date et le 31 mars 2006, date de la décision sur opposition attaquée marquant la limite dans le temps du pouvoir d'examen de l'autorité de recours (ATF 129 V 4 consid. 2.1 et 121 V 366 consid. 1b).</w:t>
      </w:r>
    </w:p>
    <w:p>
      <w:r>
        <w:rPr>
          <w:b/>
        </w:rPr>
        <w:t>E. 4</w:t>
      </w:r>
    </w:p>
    <w:p>
      <w:r>
        <w:t>Selon les normes en vigueur, tout requérant, pour avoir droit à une rente de l'assurance-invalidité suisse, doit remplir cumulativement les conditions suivantes: - être invalide au sens de la LPGA et de la LAI (art. 8 LPGA, 4, 28, 29 al. 1 LAI); - avoir versé des cotisations à l'AVS/AI durant une année au moins (art. 36 al. 1 LAI). La recourante a versé des cotisations à l'AVS/AI pendant plus d'une année au total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 à condition d'avoir exercé une activité lucrative en Suisse ou dans un de ces pays.</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Selon l'art. 28 al. 2bis LAI, l'invalidité des assurés qui n'exercent pas d'activité lucrative, et dont on ne peut raisonnablement exiger qu'ils en entreprennent une, est évaluée, en dérogation à l'art. 16 LPGA, en fonction de l'incapacité d'accomplir leurs travaux habituels, par quoi il faut entendre notamment l'activité usuelle dans le ménage, l'éducation des enfants, ainsi que toute activité artistique ou d'utilité publique (art. 27 du règlement du 17 janvier 1961 [RAI, RS 831.201]).</w:t>
      </w:r>
    </w:p>
    <w:p>
      <w:r>
        <w:rPr>
          <w:b/>
        </w:rPr>
        <w:t>E. 5.4</w:t>
      </w:r>
    </w:p>
    <w:p>
      <w:r>
        <w:t>Conformément à l'art. 29 al. 1 LAI, le droit à une rente naît dès que l'assuré, in casu ressortissante de l'Union européenne, présente une incapacité durable de 40% au moins (lettre a) ou dès qu'il a présenté, en moyenne, une incapacité de travail de 40% au moins pendant une année sans interruption notable (lettre b; voir ATF 121 V 265 ss).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w:t>
      </w:r>
    </w:p>
    <w:p>
      <w:r>
        <w:rPr>
          <w:b/>
        </w:rPr>
        <w:t>E. 6.1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4).Le Tribunal fédéral des assurances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Il résulte du dossier que l'intéressée a travaillé en dernier lieu jusqu'en juillet 2000 à plein temps comme nettoyeuse dans une poissonnerie puis a été au chômage jusqu'en septembre 2004 (cf. pce 24). Il faut donc examiner la documentation médicale au dossier afin d'évaluer l'éventuelle invalidité de la recourante.</w:t>
      </w:r>
    </w:p>
    <w:p>
      <w:r>
        <w:rPr>
          <w:b/>
        </w:rPr>
        <w:t>E. 6.3</w:t>
      </w:r>
    </w:p>
    <w:p>
      <w:r>
        <w:t>Dans son rapport du 6 juin 2005, le médecin de la Sécurité sociale espagnole a diagnostiqué une myocardiopathie dilatée sans signe de maladie des coronaires, une hypothyroïdie subclinique et un syndrome anxieux (pce 23). Ce diagnostic est confirmé par le Dr M. Ribordy dans ses rapports des 8 février et 8 août 2005 qui précise que l'ensemble de l'atteinte cardiaque est tout à fait minime (pce 24 s.). En conséquence, l'autorité de céans peut retenir le diagnostic pris en compte par l'OAIE fondé sur les rapports médicaux de la Sécurité sociale espagnole et les rapports de son service médical. 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w:t>
      </w:r>
    </w:p>
    <w:p>
      <w:r>
        <w:t>L'administration a rejeté la requête de rente présentée par la recourante en se fondant sur le fait que selon le médecin de la Sécurité sociale espagnole les affections de l'intéressée ne lui permettaient plus d'effectuer des travaux lourds en milieux à température élevée, ni de poursuivre son ancienne activité, mais lui permettaient d'exercer toutes activités légères à plein temps, appréciation confirmée sans réserve par le médecin de l'OAIE qui a relevé le caractère minime de l'atteinte cardiaque affectant l'assurée. L'autorité de céans constate en outre que l'échocardiogramme du 10 mai 2005, joint à l'expertise de la Sécurité sociale espagnole, ne met pas en évidence l'existence d'une pathologie invalidante. Les résultats de cet examen sont globalement dans la norme. Il paraît dès lors établi vu le dossier que l'intéressée pourrait reprendre sans limitation significative au sens de la loi une activité de nettoyeuse et que par ailleurs elle peut accomplir ses tâches ménagères dans une mesure ne justifiant pas le droit à la rente. En conséquence le recours doit être rejeté.</w:t>
      </w:r>
    </w:p>
    <w:p>
      <w:r>
        <w:rPr>
          <w:b/>
        </w:rPr>
        <w:t>E. 8</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cf. aussi Alfred Maurer, Schweizerisches Sozialversicherungsrecht, vol. II, Berne 1981, p. 377; Ulrich Meyer-Blaser, Zum Verhältnismässigkeitsgrundsatz im staatlichen Leistungsrecht, thèse Berne 1985, p. 131).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Par ailleurs, si la nouvelle activité lucrative implique un changement de domicile, la personne handicapée ne peut en règle générale s'y opposer (RCC 1987 p. 458, 1970 p. 331), sauf à invoquer cas échéant une situation familiale nécessitant impérativement le maintien de son domicile (Circulaire concernant l'invalidité et l'impotence de l'assurance-invalidité CIIAI, chiffre n° 3054). Enfin, l'assuré ne peut se prévaloir ni de son âge ni de la situation défavorable du marché du travail local, ces circonstances, bien que réelles et pouvant compromettre la reprise d'une activité, n'étant pas des circonstances d'évaluation et d'aggravation de l'invalidité devant être pris en compte par l'assurance-invalidité (ATFA du 28 janvier 2005 dans la cause F. [I 175/04] consid. 3; VSI 1999 p. 247 consid. 1; Pratique VSI 1998 p. 296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