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C-2734/2013 vom 1. April 2014</w:t>
      </w:r>
    </w:p>
    <w:p>
      <w:r>
        <w:t>Bundesverwaltungsgericht, 2014-04-01, DE</w:t>
      </w:r>
    </w:p>
    <w:p>
      <w:r>
        <w:rPr>
          <w:b/>
        </w:rPr>
        <w:t xml:space="preserve">Quelle: </w:t>
      </w:r>
      <w:r>
        <w:t>https://mcp.opencaselaw.ch/entscheid/bvger_C-2734_2013</w:t>
      </w:r>
    </w:p>
    <w:p>
      <w:r>
        <w:t>FR: TAF C-2734/2013 du 1 avril 2014</w:t>
      </w:r>
    </w:p>
    <w:p>
      <w:r>
        <w:t>IT: TAF C-2734/2013 del 1 aprile 2014</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Abs. 1 ATSG und Art. 52 Abs. 1 VwVG) eingereicht wurde, ist darauf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Nach der Rechtsprechung stellt das Sozialversicherungsgericht bei der Beurteilung einer Streitsache in der Regel auf den bis zum Zeitpunkt des Erlasses des streitigen Entscheides (hier: 15. April 2013)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 entgegen der Auffassung des Beschwerdeführers - grundsätzlich diejenigen Rechtssätze massgebend, die bei der Erfüllung des zu Rechtsfolgen führenden Sachverhalts Geltung hatten (BGE 130 V 329 E. 2.3), vorliegend somit die bei Eintritt des Versicherungsfalls (Vollendung des 65. Altersjahres am (...) 2012 [vgl. Art. 21 Abs. 1 Bst. a AHVG und SAK-act. 1]) bzw. die spätestens bei Erlass des angefochtenen Einspracheentscheids vom 15. April 2013 geltenden Rechtssätze. Ein allfälliger Leistungsanspruch ist für die Zeit vor einem Rechtswechsel aufgrund der bisherigen und ab diesem Zeitpunkt nach den neuen Normen zu prüfen (pro rata temporis; BGE 130 V 445).</w:t>
      </w:r>
    </w:p>
    <w:p>
      <w:r>
        <w:rPr>
          <w:b/>
        </w:rPr>
        <w:t>E. 2.3</w:t>
      </w:r>
    </w:p>
    <w:p>
      <w:r>
        <w:t>Der Beschwerdeführerin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Nr. 574/72 des Rates vom 21. März 1972 über die Durchführung der Verordnung (EWG) Nr. 1408/71 (SR 0.831.109.268.11)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Soweit das FZA keine abweichenden Bestimmungen vorsieht, erfolgt mangels einer einschlägigen gemeinschafts- bzw. abkommensrechtlichen Regelung die Ausgestaltung des Verfahrens sowie die Prüfung des Rentenanspruchs nach schweizerischem Recht. Entspre­chend bestimmt sich vorliegend der Anspruch des Beschwerdeführers auf Leistungen der schweizerischen Alters- und Hinterlassenenversicherung ausschliesslich nach dem innerstaatlichen schweizerischen Recht, insbesondere nach dem AHVG, der Verordnung vom 31. Oktober 1947 über die Alters- und Hinterlassenenversicherung (AHVV, SR 831.101), dem ATSG sowie der Verordnung vom 11. Septem­ber 2002 über den Allgemeinen Teil des Sozialversicherungsrechts (ATSV, SR 830.11).</w:t>
      </w:r>
    </w:p>
    <w:p>
      <w:r>
        <w:rPr>
          <w:b/>
        </w:rPr>
        <w:t>E. 3</w:t>
      </w:r>
    </w:p>
    <w:p>
      <w:r>
        <w:t>Nachfolgend ist zu prüfen, ob die Vorinstanz einen Renten- und Rückvergütungsanspruch des Beschwerdeführers zu Recht verneint hat.</w:t>
      </w:r>
    </w:p>
    <w:p>
      <w:r>
        <w:rPr>
          <w:b/>
        </w:rPr>
        <w:t>E. 3.1.1</w:t>
      </w:r>
    </w:p>
    <w:p>
      <w:r>
        <w:t>Anspruch auf eine ordentliche Alters- oder Hinterlassenenrente haben die rentenberechtigten Personen, denen für mindestens ein volles Jahr Einkommen, Erziehungs- oder Betreuungsgutschriften an­ge­rechnet werden können, oder ihre Hinterlassenen (Art. 29 Abs. 1 AHVG). Eine volles Beitragsjahr liegt vor, wenn die versicherte Person insgesamt länger als elf Monate im Sinne von Art. 1a oder 2 AHVG der Beitragspflicht unterstellt war und während dieser Zeit den Mindestbeitrag bezahlt hat oder Beitragszeiten im Sinne von Art. 29terAbs. 2 Bst. b und c AHVG aufweist.</w:t>
      </w:r>
    </w:p>
    <w:p>
      <w:r>
        <w:rPr>
          <w:b/>
        </w:rPr>
        <w:t>E. 3.1.2</w:t>
      </w:r>
    </w:p>
    <w:p>
      <w:r>
        <w:t>Für jeden beitragspflichtigen Versicherten werden individuelle Kon­ten geführt, in welche die für die Berechnung der ordentlichen Ren­ten erforderlichen Angaben eingetragen werden. Der Bundesrat re­gelt die Einzelheiten (Art. 30ter Abs. 1 AHVG). 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3.1.3</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3.1.4</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w:t>
      </w:r>
    </w:p>
    <w:p>
      <w:r>
        <w:rPr>
          <w:b/>
        </w:rPr>
        <w:t>E. 3.2</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w:t>
      </w:r>
    </w:p>
    <w:p>
      <w:r>
        <w:rPr>
          <w:b/>
        </w:rPr>
        <w:t>E. 3.3</w:t>
      </w:r>
    </w:p>
    <w:p>
      <w:r>
        <w:t>Vorliegend ist unbestritten und aus dem Auszug aus dem individuellen Konto des Beschwerdeführers sowie aus den übrigen Akten ersichtlich, dass dem Beschwerdeführer lediglich für zwei Monate Einkommen angerechnet werden kann und er die Voraussetzung der einjährigen Mindestbeitragsdauer nicht erfüllt (vgl. SAK-act. 1, 5, 8 und 9; vgl. Urteil des Eidgenössischen Versicherungsgerichts H 109/04 vom 22. April 2005 E. 4). Ferner besteht mit dem Heimatstaat des Beschwerdeführers eine zwischenstaatliche Vereinbarung (vgl. E. 2.3 hiervor). Folglich hat er weder Anspruch auf eine Altersrente noch auf Rückvergütung der geleisteten Beiträge. Zusammenfassend ist somit festzuhalten, dass die Vorinstanz einen Renten- und Rückvergütungsanspruch des Beschwerdeführers zu Recht verneint hat und die Beschwerde damit offensichtlich unbegründet und im einzelrichterlichen Verfahren abzuweisen ist (Art. 23 Abs. 2 VGG i.V.m. Art. 85bis Abs. 3 AHVG).</w:t>
      </w:r>
    </w:p>
    <w:p>
      <w:r>
        <w:rPr>
          <w:b/>
        </w:rPr>
        <w:t>E. 4</w:t>
      </w:r>
    </w:p>
    <w:p>
      <w:r>
        <w:t>Zu befinden bleibt noch über die Verfahrenskosten und eine allfällige Parteientschädigung.</w:t>
      </w:r>
    </w:p>
    <w:p>
      <w:r>
        <w:rPr>
          <w:b/>
        </w:rPr>
        <w:t>E. 4.1</w:t>
      </w:r>
    </w:p>
    <w:p>
      <w:r>
        <w:t>Das Verfahren ist für die Parteien kostenlos (Art. 85bisAbs.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