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C-272/2009 vom 11. Oktober 2011</w:t>
      </w:r>
    </w:p>
    <w:p>
      <w:r>
        <w:t>Bundesverwaltungsgericht, 2011-10-11, DE</w:t>
      </w:r>
    </w:p>
    <w:p>
      <w:r>
        <w:rPr>
          <w:b/>
        </w:rPr>
        <w:t xml:space="preserve">Quelle: </w:t>
      </w:r>
      <w:r>
        <w:t>https://mcp.opencaselaw.ch/entscheid/bvger_C-272_2009</w:t>
      </w:r>
    </w:p>
    <w:p>
      <w:r>
        <w:t>FR: TAF C-272/2009 du 11 octobre 2011</w:t>
      </w:r>
    </w:p>
    <w:p>
      <w:r>
        <w:t>IT: TAF C-272/2009 del 11 ottobre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Erhe­bung des Rechtsmittels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w:t>
      </w:r>
    </w:p>
    <w:p>
      <w:r>
        <w:rPr>
          <w:b/>
        </w:rPr>
        <w:t>E. 3</w:t>
      </w:r>
    </w:p>
    <w:p>
      <w:r>
        <w:t>Wird gegen eine Person, welche nicht Angehörige eines Staates ist, der durch eines der Schengen-Assozierungsabkommen gebunden ist (vgl. Anhang 1 Ziffer 1 AuG), ein Einreiseverbot nach Art. 67 AuG verhängt, wird diese Person gestützt auf Art. 94 Abs. 1 und Art. 96 SDÜ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In seiner Vernehmlassung hat das BFM jedoch festgehalten, dass es sich bei der gegen den Beschwerdeführer verhängten Fernhaltemassnahme lediglich um ein nationales Einreiseverbot handle, welches ausschliesslich für die Schweiz gelte, und im Weitern bestätigt, dass - entgegen dem Vermerk in der angefochtenen Verfügung - bisher keine Ausschreibung im SIS erfolgt sei.</w:t>
      </w:r>
    </w:p>
    <w:p>
      <w:r>
        <w:rPr>
          <w:b/>
        </w:rPr>
        <w:t>E. 4.1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in der vorliegenden Konstellation mit den obgenannten Grundsätzen vereinbar (vgl. BBl 2009 8896 ad Art. 67 Abs. 3 in fine), zumal kein Einreiseverbot mit einer Dauer von mehr als fünf Jahren zur Diskussion steht. Für den Beschwerdeführer ändert die am 1. Januar 2011 in Kraft gesetzte neue Fassung von Art. 67 AuG im Ergebnis nichts (vgl. auch Urteil des Bundesverwaltungsgerichts C-820/2009 vom 9. März 2011 E. 5.1. mit Hinweis).</w:t>
      </w:r>
    </w:p>
    <w:p>
      <w:r>
        <w:rPr>
          <w:b/>
        </w:rPr>
        <w:t>E. 4.2</w:t>
      </w:r>
    </w:p>
    <w:p>
      <w:r>
        <w:t>Wie bereits die altrechtliche Einreisesperre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12 und 13 mit Hinweisen).</w:t>
      </w:r>
    </w:p>
    <w:p>
      <w:r>
        <w:rPr>
          <w:b/>
        </w:rPr>
        <w:t>E. 5.1</w:t>
      </w:r>
    </w:p>
    <w:p>
      <w:r>
        <w:t>Mit Strafbefehl der Staatsanwaltschaft I des Kantons Zürich vom 15. Dezember 2008 wurde der Beschwerdeführer wegen Diebstahls zu einer (bedingten) Geldstrafe von 90 Tagessätzen zu Fr. 100.- und einer Busse von Fr. 500.- verurteilt, unter Anrechnung von 38 Tagen Untersuchungshaft auf diese Geldstrafe. Das Gericht warf ihm dabei vor, am 8. November 2008 in einem Herrenmodegeschäft an der Bahnhofstrasse in Zürich zwei Herrenstricknerzmäntel im Gesamtwert von über Fr. 14'000.- gestohlen zu haben. Obwohl das Verhalten des Beschwerdeführers keine Gefährdung von Leib und Leben darstellte, kann schon aufgrund des hohen Deliktsbetrages von einem leichten Verstoss gegen die Rechtsordnung, wie die Parteivertreterin anzunehmen scheint, keine Rede sein. Es steht ausser Zweifel, dass er damit gegen die öffentliche Sicherheit und Ordnung im Sinne von Art. 67 Abs. 2 Bst. a AuG i.V.m. Art. 80 Abs. 1 Bst. a VZAE verstossen hat, was grundsätzlich die Verhängung einer Fernhaltemassnahme rechtfertigte.</w:t>
      </w:r>
    </w:p>
    <w:p>
      <w:r>
        <w:rPr>
          <w:b/>
        </w:rPr>
        <w:t>E. 5.2</w:t>
      </w:r>
    </w:p>
    <w:p>
      <w:r>
        <w:t>Die Vorinstanz begründet das verhängte Einreiseverbot weiter damit, der Beschwerdeführer habe durch die entstandenen Ausschaffungskosten Sozialhilfekosten verursacht. Die Botschaft führt hierzu aus, ein Einreiseverbot solle insbesondere dann angeordnet werden, wenn die Gefahr bestehe, dass bei einer Wiedereinreise erneut Sozialhilfe- und Rückreisekosten entstünden (vgl. Botschaft, a.a.O., 3813). Dies spricht dafür, die bisherige, unter Geltung des ANAG entwickelte Praxis zum Fernhaltegrund der sogenannt "vorsorglich armenrechtlichen Gründe" im Rahmen des - in der erwähnten Bestimmung nunmehr kodifizierten - Fernhaltegrundes der Verursachung von Sozialhilfekosten weiterzuführen (vgl. Urteil des Bundesverwaltungsgerichts C-4921/2010 vom 11. August 2011 E. 9 mit weiteren Hinweisen). Eine Fernhaltemassnahme kann demnach gegen mittellose ausländische Personen verhängt werden, welche bereits Sozialhilfekosten verursacht haben, da in diesen Fällen die Gefahr besteht, dass sie erneut auf sozialhilferechtliche Unterstützung angewiesen sein könnten. Ob eine solche Gefahr besteht, lässt sich naturgemäss nur anhand einer Prognose beurteilen, die sich auf das bisherige Verhalten der ausländischen Person abstützt. Aus den Akten ergeben sich keine Hinweise, dass der Beschwerdeführer in der Schweiz Sozialhilfe bezogen hätte. Nicht bestritten wird von ihm hingegen der in der Vernehmlassung präzisierte Vorwurf der Vorinstanz, wonach die entstandenen Ausschaffungskosten (Rückschaffung nach Zagreb) von der öffentlichen Hand übernommen werden mussten. Es besteht daher die ernstzunehmende Gefahr, dass der Beschwerdeführer im Falle einer Wiedereinreise erneut entsprechende Kosten verursachen würde. Damit ist auch diese - alternative - Voraussetzung für die Verhängung eines Einreiseverbots als erfüllt zu betrachten (vgl. Art. 67 Abs. 2 Bst. b AuG).</w:t>
      </w:r>
    </w:p>
    <w:p>
      <w:r>
        <w:rPr>
          <w:b/>
        </w:rPr>
        <w:t>E. 6.1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vollständig überarbeitete Auflage, Zürich/St. Gallen 2010, Rz 613 ff.).</w:t>
      </w:r>
    </w:p>
    <w:p>
      <w:r>
        <w:rPr>
          <w:b/>
        </w:rPr>
        <w:t>E. 6.2</w:t>
      </w:r>
    </w:p>
    <w:p>
      <w:r>
        <w:t>Wie oben ausgeführt, hat der Beschwerdeführer nicht nur den Fernhaltegrund von Art. 67 Abs. 2 Bst. b AuG (Verursachung von Sozialhilfekosten) gesetzt, sondern mit seinem Verhalten (Diebstahl) gegen die öffentliche Sicherheit und Ordnung verstossen. Allein schon das generalpräventiv motivierte öffentliche Interesse, die gesetzliche Ordnung durch eine konsequente Massnahmenpraxis gegenüber ausländischen Personen zu schützen, ist gewichtig; umso mehr, wenn es um einen Deliktsbetrag von über Fr. 14'000.- geht. Persönliche Interessen macht der Beschwerdeführer insofern geltend, als er angibt, die Fernhaltemassnahme beschränke ihn unverhältnismässig in der Ausübung seiner beruflichen Tätigkeit, sei er doch aus geschäftlichen Gründen auf ungehinderte Einreisen in den Schengenraum, namentlich nach Italien, angewiesen. Die erwähnten Beeinträchtigungen gilt es insofern zu relativieren, als das BFM in seiner Vernehmlassung in diesem Zusammenhang festgehalten hat, bei der gegen den Beschwerdeführer verhängten Fernhaltemassnahme handle es lediglich um ein nationales Einreiseverbot, welches ausschliesslich für die Schweiz gelte, und im Weitern bestätigt hat, dass keine Ausschreibung im SIS erfolgt sei. Darauf ist in casu abzustellen. Nicht zutreffend ist schliesslich die Auffassung des Beschwerdeführers, aufgrund eines einmaligen Verstosses (gegen strafrechtliche Bestimmungen) sei gegen ihn ein Einreiseverbot mit der zeitlichen Höchstdauer von drei Jahren verhängt worden, hielt doch das Ausländergesetz in seiner ursprünglichen Fassung bezüglich der Dauer der Fernhaltemassnahme lediglich fest, das Einreiseverbot werde befristet oder in schwerwiegenden Fällen unbefristet verfügt (vgl. Art. 67 Abs. 3 AuG in der Fassung vom 1. Januar 2008, AS 2007 5457). Demgegenüber sieht die geltende Fassung zwar eine grundsätzliche Beschränkung des Einreiseverbots auf fünf Jahre, bei einer schwerwiegenden Gefahr für die öffentliche Sicherheit und Ordnung durch die betroffene Person jedoch auch eine längere Dauer der Fernhaltemassnahme vor.</w:t>
      </w:r>
    </w:p>
    <w:p>
      <w:r>
        <w:rPr>
          <w:b/>
        </w:rPr>
        <w:t>E. 6.3</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im Lichte von Art. 49 VwVG nicht zu beanstanden ist. Die Beschwerde ist somit abzuweisen.</w:t>
      </w:r>
    </w:p>
    <w:p>
      <w:r>
        <w:rPr>
          <w:b/>
        </w:rPr>
        <w:t>E. 8</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