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C-2726/2013 vom 16. Oktober 2014</w:t>
      </w:r>
    </w:p>
    <w:p>
      <w:r>
        <w:t>Bundesverwaltungsgericht, 2014-10-16, FR</w:t>
      </w:r>
    </w:p>
    <w:p>
      <w:r>
        <w:rPr>
          <w:b/>
        </w:rPr>
        <w:t xml:space="preserve">Quelle: </w:t>
      </w:r>
      <w:r>
        <w:t>https://mcp.opencaselaw.ch/entscheid/bvger_C-2726_2013</w:t>
      </w:r>
    </w:p>
    <w:p>
      <w:r>
        <w:t>FR: TAF C-2726/2013 du 16 octobre 2014</w:t>
      </w:r>
    </w:p>
    <w:p>
      <w:r>
        <w:t>IT: TAF C-2726/2013 del 16 ottobre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ainsi que les décisions en matière de dérogation aux conditions d'admission,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agissant en leur nom et en celui de leurs enfants, ont qualité pour recourir (cf. art. 48 al. 1 PA). Présenté dans la forme et les délais prescrits par la loi, le recours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w:t>
      </w:r>
    </w:p>
    <w:p>
      <w:r>
        <w:t>L'entrée en vigueur, le 1er janvier 2008 de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[OASE, RS 142.201]), telle l'OLE. Dès lors que la demande de réexamen qui est l'objet de la présente procédure de recours a été déposée après l'entrée en vigueur de la LEtr, il y a lieu d'appliquer le nouveau droit en l'espèce (cf. dans ce sens arrêts du Tribunal fédéral 2C_706/2008 du 13 octobre 2008 consid. 1 et 2C_638/2008 du 16 octobre 2008 consid. 1).</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du fait que toutes les voies de droit ordinaires ont été épuisées.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notamment l'arrêt du Tribunal administratif fédéral C-5867/2009 du 15 avril 2011 consid. 2 et les références citées).</w:t>
      </w:r>
    </w:p>
    <w:p>
      <w:r>
        <w:rPr>
          <w:b/>
        </w:rPr>
        <w:t>E. 4.2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w:t>
      </w:r>
    </w:p>
    <w:p>
      <w:r>
        <w:rPr>
          <w:b/>
        </w:rPr>
        <w:t>E. 4.3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ATF 131 II 329 consid. 3.2). La procédure extraordinaire (de révision ou de réexamen) ne saurait servir de prétexte pour remettre continuellement en question des décisions entrées en force, ni surtout à éluder les dispositions légales sur les délais de recours (cf. notamment ATF 136 II précité, consid 2.1 et 127 I précité consid. 6 in fine;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C-5106/2009 du 10 juin 2011 consid. 2 et C-5867/2009 précité consid. 2). Le droit des étrangers n'échappe pas à cette règle (cf. arrêt du Tribunal fédéral 2C_1007/2011 du 12 mars 2012 consid. 4.2 et jurisprudence citée).</w:t>
      </w:r>
    </w:p>
    <w:p>
      <w:r>
        <w:rPr>
          <w:b/>
        </w:rPr>
        <w:t>E. 4.4</w:t>
      </w:r>
    </w:p>
    <w:p>
      <w:r>
        <w:t>L'ODM est entré en matière sur la demande de réexamen déposée le 21 novembre 2012, en considérant que les éléments invoqués par les requérants (naissance de jumeaux en 2011, création d'une entreprise de jardinage par l'époux), survenus postérieurement à l'arrêt du Tribunal rendu le 28 mars 2011, confirmant le prononcé de l'ODM du 2 avril 2009, constituaient effectivement un changement de circonstances. Il appartient dès lors au Tribunal d'examiner si c'est à bon droit que l'ODM l'a rejetée.</w:t>
      </w:r>
    </w:p>
    <w:p>
      <w:r>
        <w:rPr>
          <w:b/>
        </w:rPr>
        <w:t>E. 5.1</w:t>
      </w:r>
    </w:p>
    <w:p>
      <w:r>
        <w:t>En l'espèce, les recourants ont allégué que l'ODM n'avait pas apprécié à sa juste valeur la poursuite de leur intégration en Suisse depuis les décisions de refus d'exception aux mesures de limitation précédemment rendues à leur endroit. Ils ont souligné ainsi, d'une part, que l'implication professionnelle de A._______, concrétisée par la création d'une entreprise de jardinage en plein développement, démontrait des facultés d'intégration exceptionnelles, d'autre part, que la naissance de leurs jumeaux en septembre 2011, ainsi que la poursuite de la scolarisation en Suisse de leurs deux enfants aînés, constituaient des éléments nouveaux importants justifiant l'octroi d'une dérogation aux condition d'admission au sens de l'art. 30 al. 1 let. b LEtr, en considération également du fait qu'ils séjournaient en Suisse depuis plus de dix ans de manière ininterrompue.</w:t>
      </w:r>
    </w:p>
    <w:p>
      <w:r>
        <w:rPr>
          <w:b/>
        </w:rPr>
        <w:t>E. 5.2</w:t>
      </w:r>
    </w:p>
    <w:p>
      <w:r>
        <w:t>Le Tribunal relève d'abord que A._______ a fait preuve en Suisse d'un engagement professionnel nettement supérieur à la moyenne. Après avoir longtemps travaillé pour le compte de l'entreprise G._______ en qualité de manoeuvre, puis de machiniste, le recourant a franchi un cap important dans son intégration professionnelle en Suisse par la création d'une entreprise de jardinage, dont il est l'associé gérant, entreprise qui a réussi son développement, si l'on en juge par les nombreuses pièces versées à ce sujet au dossier. Il y a lieu de considérer ainsi que le prénommé a fortement accentué son processus d'intégration professionnelle en Suisse depuis le prononcé de la décision de l'ODM objet de la présente demande de réexamen.</w:t>
      </w:r>
    </w:p>
    <w:p>
      <w:r>
        <w:rPr>
          <w:b/>
        </w:rPr>
        <w:t>E. 5.3</w:t>
      </w:r>
    </w:p>
    <w:p>
      <w:r>
        <w:t>Le Tribunal constate ensuite que la poursuite du séjour en Suisse des recourants depuis l'arrêt du Tribunal du 28 mars 2011 a considérablement renforcé le processus d'intégration sociale et scolaire de leurs deux enfants aînés. C'est ici le lieu de rappeler que, selon la jurisprudence, avec la scolarisation, l'intégration au milieu suisse s'accentue et il convient de tenir compte, dans cette perspective, de l'âge de l'enfant lors de son arrivée en Suisse et, au moment où se pose la question du retour, des efforts consentis, de la durée, du degré et de la réussite de la scolarité ainsi que la possibilité de poursuivre ou d'exploiter, dans le pays d'origine, la scolarisation ou la formation professionnelle commencées en Suisse (cf. ATF 123 II 125 consid. 4). En l'espèce, bien qu'ils aient connu quelques difficultés durant leurs premières années d'école, C._______ et D._______ ont accompli des progrès et paraissent en mesure de réussir leur scolarité en Suisse. Dans ce contexte, il convient de prendre en considération le fait qu'ils séjournent depuis plus de onze ans dans ce pays, qu'ils y ont accompli toute leur scolarité et que, âgés aujourd'hui de 14 ans et demi (C._______) et de 13 ans (D._______), ils se trouvent au début de leur adolescence et ont ainsi développé leurs repères et leurs propres réseaux sociaux et amicaux en Suisse. Dans ces circonstances, le Tribunal est amené à conclure que leur renvoi au Kosovo, pays qu'ils ne connaissent guère, aurait des répercussions très défavorables sur leur développement personnel et scolaire. Il apparaît au surplus que la naissance des deux derniers enfants des recourants, le 14 septembre 2011, constitue un élément supplémentaire de nature à renforcer leurs attaches avec la Suisse et à accentuer les difficultés de réintégration auxquelles ils seraient exposés en cas de retour au Kosovo. 5.4Il convient de remarquer enfin que, contrairement à la situation de nombreux étrangers n'ayant pas obtenu la régularisation de leur statut en Suisse, le séjour des recourants après la décision du Tribunal du 28 mars 2011 s'est toujours déroulé dans la légalité, dès lors que ceux-ci ont bénéficié de l'effet suspensif des recours qu'ils ont successivement déposés auprès des instances cantonales pour s'opposer à la décision de l'OCP prononçant leur renvoi de Suisse, la deuxième de ces procédures ayant été suspendue jusqu'à droit connu sur la procédure de réexamen objet du présent recours. 5.5.En considération de ce qui précède et vu les particularités du cas d'espèce, le Tribunal arrive ainsi à la conclusion que l'évolution de la situation des recourants justifie le réexamen de la décision de l'ODM du 2 avril 2009.</w:t>
      </w:r>
    </w:p>
    <w:p>
      <w:r>
        <w:rPr>
          <w:b/>
        </w:rPr>
        <w:t>E. 6</w:t>
      </w:r>
    </w:p>
    <w:p>
      <w:r>
        <w:t>En conséquence, la décision de l'ODM du 4 avril 2013 est annulée, la demande de réexamen est admise et les requérants sont mis au bénéfice d'une dérogation aux conditions d'admission au sens de l'art. 30 al. 1 let. b LEtr. Compte tenu de l'issue de la cause, il n'y a pas lieu de percevoir de frais de procédure (cf. art. 63 al. 2 PA). Il convient par ailleurs d'allouer des dépens aux recourants pour les frais indispensables qui leur ont été occasionnés par la présente procédure de recours (cf. art. 64 al. 1 PA, en relation avec les art. 7ss du règlement du 21 février 2008 concernant les frais, dépens et indemnités fixés par le Tribunal administratif fédéral [FITAF ; RS 172.320.2]). Tenant compte de l'ensemble des circonstances, en particulier de l'importance et du degré de difficulté de l'affaire, du travail accompli par leur mandataire et du tarif applicable in casu, l'indemnité à titre de dépens est fixée à Fr. 1'500.-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