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C-2724/2019 vom 5. Oktober 2021</w:t>
      </w:r>
    </w:p>
    <w:p>
      <w:r>
        <w:t>Bundesverwaltungsgericht, 2021-10-05, DE</w:t>
      </w:r>
    </w:p>
    <w:p>
      <w:r>
        <w:rPr>
          <w:b/>
        </w:rPr>
        <w:t xml:space="preserve">Quelle: </w:t>
      </w:r>
      <w:r>
        <w:t>https://mcp.opencaselaw.ch/entscheid/bvger_C-2724_2019</w:t>
      </w:r>
    </w:p>
    <w:p>
      <w:r>
        <w:t>FR: TAF C-2724/2019 du 5 octobre 2021</w:t>
      </w:r>
    </w:p>
    <w:p>
      <w:r>
        <w:t>IT: TAF C-2724/2019 del 5 ottobre 2021</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sowie Art. 31, 32 und 33 Bst. d VGG). Das Verfahren vor Bundesverwaltungsgericht richtet sich grundsätzlich nach dem VwVG (vgl. Art. 37 VGG). Vorbehalten bleiben gemäss Art. 3 Bst. dbis VwVG die besonderen Bestimmungen des ATSG (SR 830.1). Gemäss Art. 1 Abs. 1 AHVG sind die Bestimmungen des ATSG auf die im ersten Teil geregelte Alters- und Hinterlassenenversicherung anwendbar, soweit das AHVG nicht ausdrücklich eine Abweichung vom ATSG vorsieht.</w:t>
      </w:r>
    </w:p>
    <w:p>
      <w:r>
        <w:rPr>
          <w:b/>
        </w:rPr>
        <w:t>E. 1.2</w:t>
      </w:r>
    </w:p>
    <w:p>
      <w:r>
        <w:t>Der Beschwerdeführer ist als Adressat des angefochtenen Einspracheentscheids durch diesen besonders berührt und hat ein schutzwürdiges Interesse an dessen Aufhebung oder Abänderung, weshalb er zur Erhebung der Beschwerde legitimiert ist (Art. 59 ATSG). Gemäss Art. 60 Abs. 1 ATSG ist die Beschwerde innert 30 Tagen seit Eröffnung des Einspracheentscheides einzureichen. Die Beschwerdeschrift vom 6. Mai 2019 ging am 15. Mai 2019 bei der Vorinstanz ein und wurde dem Bundesverwaltungsgericht mit Schreiben der SAK vom 3. Juni 2019 übermittelt (BVGer act. 2). Auch mit der Einreichung bei der unzuständigen Behörde ist die Beschwerde gegen den vom 24. April 2019 datierten Einspracheentscheid rechtzeitig erfolgt (Art. 21 Abs. 2 VwVG). Nachdem aus der Beschwerde der Wille des Beschwerdeführers auf eine erneute Prüfung der Rentenberechnungsgrundlagen, insbesondere der massgeblichen Versicherungs- respektive Beitragsdauer, hervorgeht, genügt die Beschwerde auch in formeller Hinsicht den praxisgemässen Anforderungen, zumal an die Formerfordernisse von Laieneingaben in sprachlicher und formeller Hinsicht keine strengen Anforderungen gestellt werden (Moser/Beusch/Kneubühler, Prozessieren vor dem Bundesverwaltungsgericht, 2. Aufl. 2013, S. 119 f., Rz. 2.211; Art. 52 Abs. 1 VwVG). Die Prozessvoraussetzungen sind demnach allesamt erfüllt, so dass auf die Beschwerde einzutreten ist.</w:t>
      </w:r>
    </w:p>
    <w:p>
      <w:r>
        <w:rPr>
          <w:b/>
        </w:rPr>
        <w:t>E. 2.1</w:t>
      </w:r>
    </w:p>
    <w:p>
      <w:r>
        <w:t>Anfechtungsobjekt und damit Begrenzung des Streitgegenstandes des vorliegenden Beschwerdeverfahrens (vgl. BGE 131 V 164 E. 2.1) bildet der Einspracheentscheid vom 24. April 2019, mit welchem die SAK dem Beschwerdeführer die verfügte einmalige Abfindung von Fr. 17'422.- bestätigt hat. Streitig und vom Bundesverwaltungsgericht zu prüfen ist, ob die Vorinstanz die Höhe der einmaligen Abfindung in Anwendung der massgeblichen Vorschriften in Gesetz und Verordnung korrekt berechnet hat.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sind die zur Beurteilung der vorliegenden Beschwerde massgebenden gesetzlichen Grundlagen und die dazu von der Rechtsprechung entwickelten Grundsätze darzulegen.</w:t>
      </w:r>
    </w:p>
    <w:p>
      <w:r>
        <w:rPr>
          <w:b/>
        </w:rPr>
        <w:t>E. 3.1</w:t>
      </w:r>
    </w:p>
    <w:p>
      <w:r>
        <w:t>Das Sozialversicherungsgericht stellt bei der Beurteilung einer Streitsache in der Regel auf den bis zum Zeitpunkt des Erlasses der streitigen Verwaltungsverfügung (hier: 7. Januar 2019) eingetretenen Sachverhalt ab (BGE 132 V 215 E. 3.1.1). Tatsachen, die jenen Sachverhalt seither verändert haben, sollen im Normalfall Gegenstand einer neuen Verwaltungsverfügung sein (BGE 121 V 362 E. 1b).</w:t>
      </w:r>
    </w:p>
    <w:p>
      <w:r>
        <w:rPr>
          <w:b/>
        </w:rPr>
        <w:t>E. 3.2</w:t>
      </w:r>
    </w:p>
    <w:p>
      <w:r>
        <w:t>Der Beschwerdeführer ist serbischer Staatsangehöriger, wohnt in Serbien und hat während mehreren Jahren eine massgebende Beschäftigung in der Schweiz ausgeübt und auf dem Erwerbseinkommen Sozialversicherungsbeiträge entrichtet.</w:t>
      </w:r>
    </w:p>
    <w:p>
      <w:r>
        <w:rPr>
          <w:b/>
        </w:rPr>
        <w:t>E. 3.3</w:t>
      </w:r>
    </w:p>
    <w:p>
      <w:r>
        <w:t>In zeitlicher Hinsicht sind - vorbehaltlich besonderer übergangsrechtlicher Regelungen - grundsätzlich diejenigen Rechtssätze massgeblich, die bei der Erfüllung des rechtlich zu ordnenden oder zu Rechtsfolgen führenden Tatbestandes Geltung haben (BGE 132 V 215 E. 3.1.1), weshalb jene Vorschriften Anwendung finden, die spätestens beim Erlass der Verfügung vom 7. Januar 2019 in Kraft standen; weiter aber auch Vorschriften, die zu jenem Zeitpunkt bereits ausser Kraft getreten waren, die aber für die Beurteilung allenfalls früher entstandener Leistungsansprüche von Belang sind. Gemäss diesem Grundsatz ist beim vorliegend stritten Anspruch auf Zusprache einer einmaligen Abfindung, der Eintritt des Versicherungsfalls unter Berücksichtigung des beantragten zweijährigen Vorbezugs massgebend (BGE 139 V 335 E. 6.2; Urteil des BGer 9C_793/2013 vom 27. März 2014 E. 3.2; Urteil des BVGer C-4803/2016 vom 20. März 2018 E. 3.2).</w:t>
      </w:r>
    </w:p>
    <w:p>
      <w:r>
        <w:rPr>
          <w:b/>
        </w:rPr>
        <w:t>E. 3.3.1</w:t>
      </w:r>
    </w:p>
    <w:p>
      <w:r>
        <w:t>Nach dem Zerfall der Föderativen Volksrepublik Jugoslawien blieben zunächst die Bestimmungen des Abkommens zwischen der Schweizerischen Eidgenossenschaft und der Föderativen Volksrepublik Jugoslawien über Sozialversicherung vom 8. Juni 1962 (nachfolgend: Sozialversicherungsabkommen Jugoslawien [SR 0.831.109.818.1]). sowie die Verwaltungsvereinbarung vom 5. Juli 1963 betreffend die Durchführung des Abkommens (SR 0.831.109.818.12; nachfolgend: Verwaltungsvereinbarung Jugoslawien) für alle Staatsangehörigen des ehemaligen Jugoslawiens anwendbar (BGE 126 V 203 E. 2b; 122 V 382 E. 1; 119 V 101 E. 3). Insbesondere bewahrte dieses Sozialversicherungsabkommen im Verhältnis zur Republik Serbien vorerst Gültigkeit (vgl. BGE 139 V 263 E. 3). Seit dem 1. Januar 2019 sind das Abkommen vom 11. Oktober 2010 zwischen der Schweizerischen Eidgenossenschaft und der Republik Serbien über Soziale Sicherheit (SR 0.831.109.682.1; nachfolgend: Sozialversicherungsabkommen Serbien) und die Verwaltungsvereinbarung vom 11. Oktober 2010 zur Durchführung des Abkommens (SR 0.831.109.682.11; nachfolgend: Verwaltungsvereinbarung Serbien) in Kraft. Mit dem Inkrafttreten des Abkommens Serbien sind das Abkommen Jugoslawien und die Verwaltungsvereinbarung Jugoslawien in den Beziehungen zwischen der Schweiz und Serbien ausser Kraft getreten (vgl. Art. 38 des Sozialversicherungsabkommen Serbien, Art. 45 der Verwaltungsvereinbarung Jugoslawien, Art. 24 der Verwaltungsvereinbarung Serbien).</w:t>
      </w:r>
    </w:p>
    <w:p>
      <w:r>
        <w:rPr>
          <w:b/>
        </w:rPr>
        <w:t>E. 3.3.2</w:t>
      </w:r>
    </w:p>
    <w:p>
      <w:r>
        <w:t>Laut den massgeblichen Übergangsbestimmungen gilt das Sozialversicherungsabkommen Serbien auch für Versicherungsfälle, die vor seinem Inkrafttreten eingetreten sind (Art. 37 Abs. 1 Sozialversicherungsabkommen Serbien), und vor dem Inkrafttreten des Abkommens getroffene Entscheide stehen seiner Anwendung nicht entgegen (Art. 37 Abs. 2). Das neue Abkommen begründet indes keine Leistungsansprüche für den Zeitraum vor seinem Inkrafttreten (Art. 37 Abs. 4).</w:t>
      </w:r>
    </w:p>
    <w:p>
      <w:r>
        <w:rPr>
          <w:b/>
        </w:rPr>
        <w:t>E. 3.3.3</w:t>
      </w:r>
    </w:p>
    <w:p>
      <w:r>
        <w:t>Am für die in zeitlicher Hinsicht geltenden Rechtssätze massgebenden (...) 2018 (63. Geburtstag des Beschwerdeführers; vgl. hiervor E. 3.2), stand das neue Sozialversicherungsabkommen Serbien noch nicht in Kraft. Damit ist das per 1. Januar 2019 in Kraft getretene Abkommen auf den vorliegenden Sachverhalt noch nicht anwendbar und es findet demnach weiterhin das schweizerisch-jugoslawische Sozialversicherungsabkommen vom 8. Juni 1962 Anwendung.</w:t>
      </w:r>
    </w:p>
    <w:p>
      <w:r>
        <w:rPr>
          <w:b/>
        </w:rPr>
        <w:t>E. 3.3.4</w:t>
      </w:r>
    </w:p>
    <w:p>
      <w:r>
        <w:t>Nach Art. 2 dieses Abkommens stehen die Staatsangehörigen der Vertragsstaaten in ihren Rechten und Pflichten aus den in Art. 1 genannten Rechtsvorschriften, zu welchen die schweizerische Bundesgesetzgebung über die Alters- und Hinterlassenenversicherung (AHV) gehört, einander gleich, soweit nichts anderes bestimmt ist (so auch Art. 4 Abs. 1 des Sozialversicherungsabkommens Serbien).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3.3.5</w:t>
      </w:r>
    </w:p>
    <w:p>
      <w:r>
        <w:t>Hat ein Staatsangehöriger der Sozialistischen Föderativen Republik Jugoslawien bzw. nunmehr Staatsangehöriger der Nachfolgestaaten, der sich nicht in der Schweiz aufhält, Anspruch auf eine ordentliche Teilrente, die höchstens ein Zehntel der entsprechenden ordentlichen Vollrente beträgt, so wird ihm an Stelle der Teilrente eine Abfindung in der Höhe des Barwertes der geschuldeten Rente gewährt. Verlässt ein jugoslawischer Staatsangehöriger, der eine solche Teilrente bezogen hat, die Schweiz endgültig, so wird ihm ebenfalls eine entsprechende Abfindung gewährt. Beträgt die ordentliche Teilrente mehr als ein Zehntel, aber höchstens ein Fünftel der entsprechenden ordentlichen Vollrente, so kann der Staatsangehörige der Sozialistischen Föderativen Republik Jugoslawien, der sich nicht in der Schweiz aufhält oder diese endgültig verlässt, zwischen der Ausrichtung der Rente oder einer Abfindung wählen (Art. 7 lit. a des Sozialversicherungsabkommens Jugoslawien, vgl. auch Ziffer 8 des Schlussprotokolls). Dabei entspricht diese Bestimmung Art. 15 Abs. 2 Satz 1 des neuen Sozialversicherungsabkommens Serbien. Im Übrigen sind im Sozialversicherungsabkommen und in der Verwaltungsvereinbarung keine Vorschriften auszumachen, die nachfolgend zu beachten wären. Die Ausgestaltung des Verfahrens und die Prüfung der Höhe der geschuldeten Abfindung bestimmen sich deshalb nach den schweizerischen Rechtsvorschriften, insbesondere nach dem AHVG und der Verordnung vom 31. Oktober 1947 über die Alters- und Hinterlassenenversicherung (AHVV, SR 831.101).</w:t>
      </w:r>
    </w:p>
    <w:p>
      <w:r>
        <w:rPr>
          <w:b/>
        </w:rPr>
        <w:t>E. 3.4.1</w:t>
      </w:r>
    </w:p>
    <w:p>
      <w:r>
        <w:t>Anspruch auf eine ordentliche Alters- oder Hinterlassenenrente haben die rentenberechtigten Personen, denen für mindestens ein volles Jahr Einkommen, Erziehungs- oder Betreuungsgutschriften angerechnet werden können, oder ihre Hinterlassenen (Art. 29 Abs. 1 AHVG). Ein volles Beitragsjahr liegt gemäss Art. 50 Abs. 1 AHVV vor, wenn eine Person insgesamt länger als elf Monate im Sinne von Art. 1a oder 2 AHVG versichert war und während dieser Zeit den Mindestbeitrag bezahlt hat oder Beitragszeiten im Sinne von Art. 29ter Abs. 2 lit. b und c AHVG aufweist. Ist die Beitragsdauer nicht vollständig, besteht nur Anspruch auf eine Teilrente. Nach Art. 38 AHVG entspricht die Teilrente einem Bruchteil der nach den Art. 34-37 zu ermittelnden Vollrente (Abs. 1). Dieser bemisst sich nach der Verhältniszahl zwischen der effektiven Beitragsdauer einerseits und der vollständigen Beitragsdauer des Jahrgangs anderseits (Art. 38 Abs. 2 AHVG, Art. 52 AHVV; vgl. Thomas Locher, Grundriss des Sozialversicherungsrechts, 3. Aufl.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3.4.2</w:t>
      </w:r>
    </w:p>
    <w:p>
      <w:r>
        <w:t>Die Beitragsdauer einer versicherten Person bestimmt sich in der Regel nach den Einträgen in ihren individuellen Konten (IK;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3.4.3</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w:t>
      </w:r>
    </w:p>
    <w:p>
      <w:r>
        <w:rPr>
          <w:b/>
        </w:rPr>
        <w:t>E. 3.4.4</w:t>
      </w:r>
    </w:p>
    <w:p>
      <w:r>
        <w:t>Innerhalb der anwendbaren Rentenskala bestimmt sich der Rentenbetrag nach dem durchschnittlichen Jahreseinkommen. Dieses setzt sich grundsätzlich zusammen aus den Erwerbseinkommen, den Erziehungs-gutschriften und den Betreuungsgutschriften (Art. 29quater AHVG). Bei geschiedenen oder verwitweten Personen kann das massgebende durchschnittliche Jahreseinkommen zusätzlich Übergangsgutschriften enthalten. Weil die Beiträge während einer langen Beitragskarriere zum Nominalbetrag bezahlt worden sind, wird die Summe der Erwerbseinkommen entsprechend dem Rentenindex aufgewertet (Art. 30 Abs. 1 AHVG; Art. 51bis AHVV). Die Durchschnitte werden addiert und auf den nächsthöheren Tabellenwert des massgebenden durchschnittlichen Jahreseinkommens aufgerundet (vgl. hierzu Rz. 5101 der Wegleitung über die Renten in der Eidgenössischen Alters-, Hinterlassenen- und Invalidenrentenversicherung [RWL], in der ab 1. Januar 2018 gültigen Fassung). Das durchschnittliche Jahreseinkommen wird alsdann ermittelt, indem die Summe der aufgewerteten Erwerbseinkommen sowie die Erziehungs-, Betreuungs- und/oder Übergangsgutschriften durch die Anzahl der Beitragsjahre geteilt werden (Art. 30 Abs. 2 AHVG).</w:t>
      </w:r>
    </w:p>
    <w:p>
      <w:r>
        <w:rPr>
          <w:b/>
        </w:rPr>
        <w:t>E. 3.4.5</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 Erziehungsgutschriften werden immer für ganze Kalenderjahre angerechnet. Während des Jahres, in dem der Anspruch entsteht, werden keine Gutschriften angerechnet (Art. 52f Abs. 1 AHVV). Für Jahre, in denen sein Ehegatte nicht in der AHV versichert war, wird dem versicherten Elternteil die ganze Erziehungsgutschrift angerechnet (Art. 52f Abs. 4 AHVV).</w:t>
      </w:r>
    </w:p>
    <w:p>
      <w:r>
        <w:rPr>
          <w:b/>
        </w:rPr>
        <w:t>E. 3.4.6</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3.4.7</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unterstützen. Entsprechend fällt im Fall der Beweislosigkeit der Entscheid zu Ungunsten jener Partei aus, die daraus Rechte ableiten will (vgl. BGE 117 V 261 E. 3b und 3d).</w:t>
      </w:r>
    </w:p>
    <w:p>
      <w:r>
        <w:rPr>
          <w:b/>
        </w:rPr>
        <w:t>E. 3.4.8</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4</w:t>
      </w:r>
    </w:p>
    <w:p>
      <w:r>
        <w:t>Vorliegend ist strittig und vom Bundesverwaltungsgericht zu prüfen, ob die SAK die Höhe der einmaligen Abfindung des Beschwerdeführers korrekt ermittelt hat.</w:t>
      </w:r>
    </w:p>
    <w:p>
      <w:r>
        <w:rPr>
          <w:b/>
        </w:rPr>
        <w:t>E. 4.1</w:t>
      </w:r>
    </w:p>
    <w:p>
      <w:r>
        <w:t>Der Beschwerdeführer bemängelt in seiner Beschwerde sinngemäss die Berechnung der Höhe der einmaligen Abfindung und führt aus, dass die Abfindung Fr. 28'200.- betragen sollte (vgl. BVGer act. 1; vgl. demgegenüber seine Einsprache, wo der Beschwerdeführer noch Fr. 27'043.- geltend machte [act. 39]). An einer vertieften Auseinandersetzung mit den im Einspracheentscheid enthaltenen Ausführungen fehlt es jedoch. Offenbar geht der Beschwerdeführer fälschlicherweise davon aus, dass die einmalige Abfindung direkt dem durchschnittlichen Jahreseinkommen von vorliegend Fr. 28'200.-, dessen Höhe nicht bestritten wird, entspricht.</w:t>
      </w:r>
    </w:p>
    <w:p>
      <w:r>
        <w:rPr>
          <w:b/>
        </w:rPr>
        <w:t>E. 4.2</w:t>
      </w:r>
    </w:p>
    <w:p>
      <w:r>
        <w:t>Der Beschwerdeführer bestreitet auch die Richtigkeit der IK-Einträge betreffend die Beitragszeiten nicht. Die Vorinstanz hat denn auch zweifellos zu Recht auf die Einträge im IK-Auszug vom 13. Oktober 2015 (act. 9) bzw. auf die Einträge im Formular E 205 betreffend den Versicherungsverlauf in der Schweiz (act. 16) abgestellt. Sie rechnete dem Beschwerdeführer zutreffend eine Betragszeit von insgesamt zwei Jahren und elf Monaten bzw. 35 Monaten an (act. 38 und 41).</w:t>
      </w:r>
    </w:p>
    <w:p>
      <w:r>
        <w:rPr>
          <w:b/>
        </w:rPr>
        <w:t>E. 4.3</w:t>
      </w:r>
    </w:p>
    <w:p>
      <w:r>
        <w:t>Der am (...) 1955 geborene Beschwerdeführer erreichte das um zwei Jahre vorbezogene Rentenalter von 63 Jahren am (...) 2018 (Art. 40 Abs. 1 AHVG). Versicherte des Jahrgangs 1955 - wie der Beschwerdeführer - weisen bei Eintritt des Versicherungsfalles im Jahr 2018 bei vollständiger Beitragsdauer 42 Versicherungsjahre aus. Gemäss dem Skalenwähler der vom Bundesamt für Sozialversicherungen [BSV] herausgegebenen verbindlichen Rententabellen gültig ab dem 1. Januar 2015 (Art. 53 Abs. 1 AHVV i.V.m. Art. 30bis AHVG; BGE 131 V 233 E. 4.1; Urteil des BGer 9C_824/2015 vom 2. Dezember 2015 E. 2) hat der Beschwerdeführer - wie von der Vorinstanz zutreffend festgestellt - Anspruch auf eine Rente der Rentenskala 2 (vgl. Art. 52 und 53 AHVV sowie Rententabellen 2015 S. 10, abrufbar unter www.bsv.ch &gt; Publikationen &amp; Service &gt; Weisungen, Kreisschreiben etc. &gt; Vollzug Sozialversicherungen &gt; AHV &gt; Grundlagen AHV &gt; Weisungen Renten, zuletzt besucht am 20.12.2019).</w:t>
      </w:r>
    </w:p>
    <w:p>
      <w:r>
        <w:rPr>
          <w:b/>
        </w:rPr>
        <w:t>E. 4.4</w:t>
      </w:r>
    </w:p>
    <w:p>
      <w:r>
        <w:t>Weiter ist einem nächsten Schritt das durchschnittliche Jahreseinkommen des Beschwerdeführers zu ermitteln.</w:t>
      </w:r>
    </w:p>
    <w:p>
      <w:r>
        <w:rPr>
          <w:b/>
        </w:rPr>
        <w:t>E. 4.5</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3.4.2 hiervor).</w:t>
      </w:r>
    </w:p>
    <w:p>
      <w:r>
        <w:rPr>
          <w:b/>
        </w:rPr>
        <w:t>E. 4.6</w:t>
      </w:r>
    </w:p>
    <w:p>
      <w:r>
        <w:t>Laut den verbindlichen Einträgen im IK-Auszug hat der Beschwerdeführer in den Jahren 1976 bis 1979 während insgesamt zwei Jahren und elf Monaten Beiträge in der Höhe von Fr. 36'270.- an die AHV/IV geleistet (act. 9). Auch dies wird vom Beschwerdeführer nicht bestritten.</w:t>
      </w:r>
    </w:p>
    <w:p>
      <w:r>
        <w:rPr>
          <w:b/>
        </w:rPr>
        <w:t>E. 4.7</w:t>
      </w:r>
    </w:p>
    <w:p>
      <w:r>
        <w:t>Im Weiteren hat die Vorinstanz zutreffend berücksichtigt, dass die Ehefrau des Beschwerdeführers zu keinem Zeitpunkt AHV-versichert war (vgl. act. 36, S. 3), weshalb eine Einkommensteilung vorliegend von vornherein ausser Betracht fällt (vgl. dazu Art. 29quinquies Abs. 3 und Abs. 4 AHVG; Art. 50b AHVV).</w:t>
      </w:r>
    </w:p>
    <w:p>
      <w:r>
        <w:rPr>
          <w:b/>
        </w:rPr>
        <w:t>E. 4.8</w:t>
      </w:r>
    </w:p>
    <w:p>
      <w:r>
        <w:t>Diese ermittelte Einkommenssumme wird gemäss Art. 30 Abs. 1 AHVG mit einem vom Bundesrat jährlich festzulegenden Faktor aufgewertet, um die Teuerung auszugleichen. Die Summe des versicherten und aufgewerteten Erwerbseinkommens wird anschliessend durch die anrechenbare Beitragsdauer geteilt und mit 12 multipliziert (Art. 30 Abs. 2 AHVG). Nicht zu beanstanden ist, dass die SAK als ersten IK-Eintrag das Jahr 1976 (erstmalige Erwerbstätigkeit in der Schweiz) berücksichtigt und in Anwendung der für das Jahr 2018 massgeblichen Aufwertungsfaktoren einen Faktor von 1.091 ermittelt hat (vgl. dazu Rententabellen 2019 [Aufwertungsfaktoren] 2018, S. 15). Als durchschnittliches Einkommen resultiert mithin - bei einer Beitragsdauer von 35 Monaten - ein Betrag von Fr. 13'567.- (= Fr. 36'270.- x 1.091: 35 x 12). Auch diesen Betrag hat die SAK demnach korrekt ermittelt (vgl. dazu act. 41, S. 3).</w:t>
      </w:r>
    </w:p>
    <w:p>
      <w:r>
        <w:rPr>
          <w:b/>
        </w:rPr>
        <w:t>E. 4.9</w:t>
      </w:r>
    </w:p>
    <w:p>
      <w:r>
        <w:t>Mit Blick auf die Erziehungsgutschriften steht fest, dass der Beschwerdeführer zwei Kinder hat (geboren am [...] 1976 sowie am [...] 1979) und demnach Erziehungsgutschriften bis längstens 1995 (16. Altersjahr des jüngeren Kindes) gewährt werden können. Die Vorinstanz ist ebenfalls zu Recht unter Berücksichtigung der Versicherungszeit von jeweils acht Monaten im Jahr 1978 und 1979 und der daraus resultierenden Anrechnung einer vollen Erziehungsgutschrift, bei einer dreifachen minimalen jährlichen Altersrente im Zeitpunkt des Versicherungsfalles (März 2018) von Fr. 42'300.-, von einer anrechenbaren durchschnittlichen Erziehungsgutschrift in der Höhe von Fr. 14'503.- (= Fr. 42'300.-. x 1 Jahr / 35 x 12; aufgerundet) ausgegangen.</w:t>
      </w:r>
    </w:p>
    <w:p>
      <w:r>
        <w:rPr>
          <w:b/>
        </w:rPr>
        <w:t>E. 4.10</w:t>
      </w:r>
    </w:p>
    <w:p>
      <w:r>
        <w:t>Das massgebende durchschnittliche Jahreseinkommen setzt sich zusammen aus dem Durchschnitt der aufgewerteten Erwerbseinkommen sowie dem Durchschnitt der anrechenbaren Erziehungs- und Betreuungsgutschriften. Die Durchschnitte werden addiert und auf den nächsthöheren Tabellenwert des massgebenden durchschnittlichen Jahreseinkommens aufgerundet (RWL, Rz. 5101). Die Summe des Durchschnittswertes der Erziehungsgutschriften von Fr. 14'503.- und des durchschnittlichen Jahreseinkommens von Fr. 13'567.- ergibt einen Betrag von Fr. 28'070.-. Aufgerundet auf den nächsthöheren Tabellenwert der Rentenskala 2 ergibt sich ein massgebendes durchschnittliches Jahreseinkommen von Fr. 28'200.-.</w:t>
      </w:r>
    </w:p>
    <w:p>
      <w:r>
        <w:rPr>
          <w:b/>
        </w:rPr>
        <w:t>E. 4.11</w:t>
      </w:r>
    </w:p>
    <w:p>
      <w:r>
        <w:t>Unter Berücksichtigung eines massgebenden durchschnittlichen Jahreseinkommens von Fr. 28'200.- und der anwendbaren Rentenskala 2 (vgl. Rententabellen 2019 des BSV, gültig ab 1. Januar 2019, S. 13: Skalenwähler für Männer bei Vorbezug um 2 Jahre und einer Beitragsdauer von zwei Versicherungsjahren und S. 15: Aufwertungsfaktor 1.091 bei erstem IK-Eintrag im Jahr 1976 und Eintritt des Versicherungsfalls im Jahr 2018, www.sozialversicherungen.admin.ch AHV Grundlagen AHV Weisungen Renten, abgerufen am 5.10.2021) beträgt die monatliche Altersrente des Beschwerdeführers ungekürzt Fr. 67.- (vgl. act. 41, S. 3; Rententabellen 2015, Tabelle "Skala 2", S. 102). Da der Beschwerdeführer die Rente um zwei Jahre vorbezogen hat, wird diese um 13.6 % gekürzt (vgl. Art. 56 Abs. 1 und 2 AHVV; vgl. auch act. 41, S. 3) und beträgt Fr. 58.- (Fr. 67.- x [1-0.136]) monatlich (zur Rundung der Monatsrenten vgl. Art. 53 Abs. 2 AHVV).</w:t>
      </w:r>
    </w:p>
    <w:p>
      <w:r>
        <w:rPr>
          <w:b/>
        </w:rPr>
        <w:t>E. 4.12</w:t>
      </w:r>
    </w:p>
    <w:p>
      <w:r>
        <w:t>Die Vorinstanz stellte zu Recht fest, dass die ausgerechnete Altersrente von Fr. 58.- weniger als 10 % der entsprechenden hypothetischen Vollrente (Rententabellen 2015, Tabelle "Skala 44", S. 18, bei einem massgebenden Jahreseinkommen von Fr. 28'200.-: Fr. 1'481.-, davon 10 %: Fr. 148.-) beträgt, womit dem Beschwerdeführer die Rente in Form einer einmaligen Abfindung auszurichten ist (vgl. Art. 7 lit. a Sozialversicherungsabkommen Jugoslawien; E. 3.3.5 hiervor).</w:t>
      </w:r>
    </w:p>
    <w:p>
      <w:r>
        <w:rPr>
          <w:b/>
        </w:rPr>
        <w:t>E. 4.13</w:t>
      </w:r>
    </w:p>
    <w:p>
      <w:r>
        <w:t>Im massgebenden Zeitpunkt für die Berechnung der einmaligen Abfindung (März 2018) waren der Beschwerdeführer 63 Jahre alt und seine Ehefrau (B._______, geb. [...] 1958; act. 32) 59 Jahre alt. Die Ehefrau ist nicht bei der AHV versichert (vgl. act. 36, S. 3). Zudem sind beide aktenkundigen Kinder, geb. (...) 1977 sowie (...) 1979, bereits über 25 Jahre alt (vgl. act. 31, S. 2). Die Barwerttabellen sehen in dieser Situation folgende Berechnungsformel für die Kapitalisierung der Altersrente vor (Barwerttabellen, S. 20): KW: = [B1(x) x RH1 + (B2(y) - B3(x,y)) x 0.8 x RH1] x 12 - KW: Kapitalwert - B1(x): Barwert einer lebenslänglichen Rente für einen Mann im Alter x - B2(y): Barwert einer lebenslänglichen Rente für eine Frau Alter y - B3(x,y): Barwert einer lebenslänglichen Verbindungsrente für einen Mann im Alter x und einer Frau im Alter y - RH1: Rentenhöhe der aktuellen Rente im Berechnungszeitpunkt.</w:t>
      </w:r>
    </w:p>
    <w:p>
      <w:r>
        <w:rPr>
          <w:b/>
        </w:rPr>
        <w:t>E. 4.13.1</w:t>
      </w:r>
    </w:p>
    <w:p>
      <w:r>
        <w:t>Die Barwertfaktoren B1(x) und B2(y) für eine sofort beginnende, lebenslängliche Rente bestimmen sich anhand der Tabelle 2 der Barwerttabellen (S. 54) und betragen für einen Mann im Alter von 63 Jahren 20.192 und für eine Frau im Alter von 59 Jahren 24.408. Erläuternd kann ange-merkt werden, dass im Barwertfaktor auch die Sterbewahrscheinlichkeit berücksichtigt wird, weshalb für Männer und Frauen unterschiedliche Barwertfaktoren resultieren (vgl. Urteil des BVGer C-4418/2016 vom 28. Februar 2018 E. 4.5.4).</w:t>
      </w:r>
    </w:p>
    <w:p>
      <w:r>
        <w:rPr>
          <w:b/>
        </w:rPr>
        <w:t>E. 4.13.2</w:t>
      </w:r>
    </w:p>
    <w:p>
      <w:r>
        <w:t>Der Rentenerwartung der Ehefrau im Falle der Verwitwung wird Rechnung getragen, indem der Barwert der Verbindungsrente B3(x,y) vom Barwert einer lebenslänglichen Rente der Ehefrau B2(y) subtrahiert wird. Der Barwertfaktor B3(x,y) einer lebenslänglichen Verbindungsrente eines Mannes im Alter von 63 Jahren und einer Frau mit Alter von 59 Jahren beträgt 18.360 (Tabelle 3 der Barwerttafeln, S. 56).</w:t>
      </w:r>
    </w:p>
    <w:p>
      <w:r>
        <w:rPr>
          <w:b/>
        </w:rPr>
        <w:t>E. 4.13.3</w:t>
      </w:r>
    </w:p>
    <w:p>
      <w:r>
        <w:t>Die Rentenhöhe der aktuellen Rente im massgebenden Zeitpunkt RH1 beträgt monatlich Fr. 58.- (vgl. E. 4.11 hiervor).</w:t>
      </w:r>
    </w:p>
    <w:p>
      <w:r>
        <w:rPr>
          <w:b/>
        </w:rPr>
        <w:t>E. 4.13.4</w:t>
      </w:r>
    </w:p>
    <w:p>
      <w:r>
        <w:t>Die Berechnung für die dem Beschwerdeführer zustehenden einmalige Abfindung lautet somit wie folgt: [20.192 x Fr. 58.- +(24.408 - 18.360) x 0.8 x Fr. 58.-] x 12 = Fr. 17'421.15.-</w:t>
      </w:r>
    </w:p>
    <w:p>
      <w:r>
        <w:rPr>
          <w:b/>
        </w:rPr>
        <w:t>E. 4.13.5</w:t>
      </w:r>
    </w:p>
    <w:p>
      <w:r>
        <w:t>Die entsprechende Berechnung der Vorinstanz (vgl. S. 4 des Einspracheentscheids) ist folglich nicht zu beanstanden.</w:t>
      </w:r>
    </w:p>
    <w:p>
      <w:r>
        <w:rPr>
          <w:b/>
        </w:rPr>
        <w:t>E. 5</w:t>
      </w:r>
    </w:p>
    <w:p>
      <w:r>
        <w:t>Im Ergebnis ist die Beschwerde abzuweisen und der Einspracheentscheid vom 24. April 2019 vollumfänglich zu bestätigen. Die Beschwerde erweist sich als offensichtlich unbegründet und ist daher im einzelrichterlichen Verfahren abzuweisen (Art. 23 Abs. 2 VGG i.V. mit Art. 85bis Abs. 3 AHVG).</w:t>
      </w:r>
    </w:p>
    <w:p>
      <w:r>
        <w:rPr>
          <w:b/>
        </w:rPr>
        <w:t>E. 6.1</w:t>
      </w:r>
    </w:p>
    <w:p>
      <w:r>
        <w:t>Das Verfahren ist für die Parteien kostenlos (Art. 85bis Abs. 2 AHVG), weshalb keine Verfahrenskosten zu erheben sind.</w:t>
      </w:r>
    </w:p>
    <w:p>
      <w:r>
        <w:rPr>
          <w:b/>
        </w:rPr>
        <w:t>E. 6.2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