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C-2721/2006 vom 14. Juli 2008</w:t>
      </w:r>
    </w:p>
    <w:p>
      <w:r>
        <w:t>Bundesverwaltungsgericht, 2008-07-14, IT</w:t>
      </w:r>
    </w:p>
    <w:p>
      <w:r>
        <w:rPr>
          <w:b/>
        </w:rPr>
        <w:t xml:space="preserve">Quelle: </w:t>
      </w:r>
      <w:r>
        <w:t>https://mcp.opencaselaw.ch/entscheid/bvger_C-2721_2006</w:t>
      </w:r>
    </w:p>
    <w:p>
      <w:r>
        <w:t>FR: TAF C-2721/2006 du 14 juillet 2008</w:t>
      </w:r>
    </w:p>
    <w:p>
      <w:r>
        <w:t>IT: TAF C-2721/2006 del 14 luglio 2008</w:t>
      </w:r>
    </w:p>
    <w:p>
      <w:pPr>
        <w:pStyle w:val="Heading2"/>
      </w:pPr>
      <w:r>
        <w:t>Regeste</w:t>
      </w:r>
    </w:p>
    <w:p>
      <w:r>
        <w:t>Assicurazione per l'invalidità (altro)</w:t>
      </w:r>
    </w:p>
    <w:p>
      <w:pPr>
        <w:pStyle w:val="Heading2"/>
      </w:pPr>
      <w:r>
        <w:t>Erwägungen</w:t>
      </w:r>
    </w:p>
    <w:p>
      <w:r>
        <w:rPr>
          <w:b/>
        </w:rPr>
        <w:t>E. 1.1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agli art. 33 e 34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1.2</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LTAF).</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 rispetta i requisiti minimi prescritti dalla legge (art. 60 LPGA e 52 PA). Il gravame è dunque ricevibile, nulla ostando all'esame del merito dello stesso.</w:t>
      </w:r>
    </w:p>
    <w:p>
      <w:r>
        <w:rPr>
          <w:b/>
        </w:rPr>
        <w:t>E. 4</w:t>
      </w:r>
    </w:p>
    <w:p>
      <w:r>
        <w:t>Ai fini del presente giudizio occorre altresì preliminarmente precisare, con particolare riferimento al diritto materiale, che, dal profilo temporale, non trovano applicazione le modifiche della LAI del 17 giugno 2007 entrate in vigore dal 1° gennaio 2008 (5a revisione della LAI). Di seguito vengono quindi citate le disposizioni della LAI e della LPGA nel tenore in vigore fino al 31 dicembre 2007.</w:t>
      </w:r>
    </w:p>
    <w:p>
      <w:r>
        <w:rPr>
          <w:b/>
        </w:rPr>
        <w:t>E. 5</w:t>
      </w:r>
    </w:p>
    <w:p>
      <w:r>
        <w:t>Il ricorrente ha presentato la richiesta di rendita il 13 ottobre 2003.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13 ottobre 2002 (ossia 12 mesi precedenti la presentazione della domanda), oppure se un diritto alla rendita sia sorto tra tale data ed il 20 marzo 2006, data della decisione su opposizione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7.5</w:t>
      </w:r>
    </w:p>
    <w:p>
      <w:r>
        <w:t>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w:t>
      </w:r>
    </w:p>
    <w:p>
      <w:r>
        <w:rPr>
          <w:b/>
        </w:rPr>
        <w:t>E. 7.6</w:t>
      </w:r>
    </w:p>
    <w:p>
      <w:r>
        <w:t>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7.7</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8.1</w:t>
      </w:r>
    </w:p>
    <w:p>
      <w:r>
        <w:t>Dalla documentazione medica ad atti emerge che A._______ soffre essenzialmente degli esiti di un distacco di retina all'occhio sinistro fatto avvenuto nel febbraio 1997, degli esiti remoti di un incidente stradale del 1978 che gli causò una lesione della laringe e successiva ricostruzione della stessa, artrosi polidistrettuale di modesta entità, problemi respiratori che non comportano alcuna insufficienza respiratoria di rilievo. La documentazione esibita in sede ricorsuale non apporta novità diagnostiche di rilievo.</w:t>
      </w:r>
    </w:p>
    <w:p>
      <w:r>
        <w:rPr>
          <w:b/>
        </w:rPr>
        <w:t>E. 8.2</w:t>
      </w:r>
    </w:p>
    <w:p>
      <w:r>
        <w:t>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9.1</w:t>
      </w:r>
    </w:p>
    <w:p>
      <w:r>
        <w:t>Per quanto concerne le conseguenze invalidanti delle menzionate affezioni, il primo ed il secondo medico dell'INPS hanno posto un tasso d'invalidità dell'80% (perizie del 12 marzo 2004 e del 30 maggio 2005, doc. 18 e 28). Dal canto loro, i sanitari dell'UAIE sono del parere che l'interessato non avrebbe potuto svolgere attività pesanti già dopo l'incidente che ha causato il distacco della retina nel febbraio 1997, mentre sarebbero state proponibili attività leggere e/o semisedentarie in misura completa.</w:t>
      </w:r>
    </w:p>
    <w:p>
      <w:r>
        <w:rPr>
          <w:b/>
        </w:rPr>
        <w:t>E. 9.2</w:t>
      </w:r>
    </w:p>
    <w:p>
      <w:r>
        <w:t>Il collegio giudicante rileva tuttavia che l'interessato ha lavorato, sebbene stagionalmente, come bracciante agricolo, fino al 31 dicembre 2002. Ora, come rilevato ai considerandi 7.4 e 7.5, l'invalidità è un concetto economico e non medico. Sebbene ambedue i consulenti medici dell'amministrazione abbiano sottolineato che l'attività di bracciante agricolo avrebbe potuto essere problematica in considerazione dell'eventuale peggioramento della capacità visiva dell'assicurato e del rischio di perdere anche l'acuità visiva restante, A._______, con comportamento concludente, ha dimostrato di saper porre ad utile profitto le sue residue capacità al lavoro di modo da escludere un'invalidità di livello pensionabile, almeno fino al 31 dicembre 2002.</w:t>
      </w:r>
    </w:p>
    <w:p>
      <w:r>
        <w:rPr>
          <w:b/>
        </w:rPr>
        <w:t>E. 9.3</w:t>
      </w:r>
    </w:p>
    <w:p>
      <w:r>
        <w:t>Può invece essere condiviso il parere dei medici consulenti dell'UAIE per il periodo successivo al 31 dicembre 2002, sebbene non risulti che l'interruzione dell'attività lucrativa sia incontestabilmente dovuta a ragioni di salute. Il paziente soffre di una patologia scarsamente invalidante da mettere in relazione agli esiti dell'infortunio che ha causato una lesione alla laringe nel 1978. Nel 1997, l'interessato ha inoltre subito il distacco della retina all'occhio sinistro comportante la cecità di quell'occhio. Queste turbe, associate ad una modesta sindrome d'artrosi polidistrettuale, da ascrivere, più che altro, all'età ed al tipo di lavoro svolto nel passato, possono costituire un impedimento nell'ambito di attività estremamente pesanti o richiedenti una particolare acuità visiva. L'interessato presenta anche difficoltà respiratorie le quali, comunque, non determinano alcuna insufficienza respiratoria di rilievo, gli esami spirometrici essendo nella norma. Per il resto, l'assicurato si presenta ancora in buone condizioni generali di salute e, per quel che concerne la vista, l'occhio destro gode di una buona capacità residua. Nell'ipotesi più favorevole per l'assicurato, questo collegio giudicante ammette che A._______ ha presentato un'incapacità al lavoro superiore al 70% nel suo precedente lavoro di bracciante agricolo a partire dal 1° gennaio 2003, ma la sua residua capacità lavorativa è rimasta intatta nell'ambito di attività di sostituzione più leggere, meno esposte a pericoli e non richiedenti una particolare acuità visiva. Entrano in considerazione lavori come quelli di magazziniere, portinaio, operaio imballatore, operaio addetto al controllo di macchine di produzione automatica, bidello, benzinaio, ecc. Occorre pertanto esaminare se, nell'ambito di attività di sostituzione, l'insorgente presenti un'incapacità di guadagno di rilievo.</w:t>
      </w:r>
    </w:p>
    <w:p>
      <w:r>
        <w:rPr>
          <w:b/>
        </w:rPr>
        <w:t>E. 10.1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10.2</w:t>
      </w:r>
    </w:p>
    <w:p>
      <w:r>
        <w:t>L'amministrazione ha considerato (calcolo effettuato il 31 agosto 2005, doc. 35) quale salario privo d'invalidità, quello conseguibile nel 2003 in Italia come bracciante agricolo Euro 1'162.- mensili. L'UAIE si è basato su dati statistici, in quanto i salari effettivamente percepiti dall'interessato erano molto bassi e per di più egli lavorava a stagioni. Questa soluzione è più favorevole per il ricorrente. Quale reddito da invalido l'UAIE ha ritenuto quello ottenibile in attività di tipo leggero non qualificate e semplici. Queste attività comportano un salario medio di Euro 1'119.- mensili (nel 2003). Questo introito teorico può essere ridotto per tenere conto dei fattori personali dell'assicurato (DTF 126 V 75), quali età, handicap. L'amministrazione ha operato una deduzione del 20%, che può essere tutelata, dal momento che la riduzione massima, in casi eccezionali, si situa al 25%. La riduzione del 20% comporta un reddito dopo l'insorgenza dell'invalidità di Euro 895.-. Il confronto fra un reddito privo d'invalidità di Euro 1'162.- ed un introito teorico dopo l'insorgenza dell'invalidità di Euro 895.- causa una perdita di guadagno del 22,97% (arrotondato al 23%), tasso che esclude il riconoscimento del diritto ad una rendita dell'assicurazione svizzera per l'invalidità. In queste circostanze il ricorso deve essere respinto e l'impugnata decisione confermata.</w:t>
      </w:r>
    </w:p>
    <w:p>
      <w:r>
        <w:rPr>
          <w:b/>
        </w:rPr>
        <w:t>E. 11.1</w:t>
      </w:r>
    </w:p>
    <w:p>
      <w:r>
        <w:t>Non si prelevano spese ricorsuali.</w:t>
      </w:r>
    </w:p>
    <w:p>
      <w:r>
        <w:rPr>
          <w:b/>
        </w:rPr>
        <w:t>E. 11.2</w:t>
      </w:r>
    </w:p>
    <w:p>
      <w:r>
        <w:t>Visto l'esito del ricorso non si assegnano indennità per spese ripetibili alla parte soccombente. Per quel che concerne l'UAIE, le autorità federali non hanno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